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部门整体支出绩效目标申报表</w:t>
      </w:r>
    </w:p>
    <w:p>
      <w:pPr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  <w:lang w:val="en-US" w:eastAsia="zh-CN"/>
        </w:rPr>
        <w:t>2020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年度）</w:t>
      </w:r>
    </w:p>
    <w:p>
      <w:pPr>
        <w:spacing w:before="120" w:beforeLines="5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填报单位（盖章）：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衡阳市南岳区南岳完小</w:t>
      </w:r>
      <w:r>
        <w:rPr>
          <w:rFonts w:hint="eastAsia" w:ascii="仿宋" w:hAnsi="仿宋" w:eastAsia="仿宋" w:cs="宋体"/>
          <w:kern w:val="0"/>
          <w:sz w:val="24"/>
        </w:rPr>
        <w:t xml:space="preserve">             单位负责人：罗伶</w:t>
      </w:r>
    </w:p>
    <w:tbl>
      <w:tblPr>
        <w:tblStyle w:val="2"/>
        <w:tblW w:w="56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85"/>
        <w:gridCol w:w="1081"/>
        <w:gridCol w:w="1624"/>
        <w:gridCol w:w="1226"/>
        <w:gridCol w:w="195"/>
        <w:gridCol w:w="1277"/>
        <w:gridCol w:w="652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部门基本信息</w:t>
            </w: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预算单位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衡阳市南岳区南岳完小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绩效管理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谭常春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联系电话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13873460219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制数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实有人数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122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部门职能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职责概述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一、正确贯彻执行党和国家的教育方针、政策、法规。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二、维护学校的教学秩序，为学生创造良好的学习环境；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三、积极稳妥地推进教育改革，按教育规律办事，不断提高教育质量；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四、根据学校规模，设置学校管理机构，建立健全各项规章制度和岗位责任制。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五、坚持教书育人，服务育人，环境育人方针，加强对学生的思想品德教育，使学生的德智体全面发展。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六、抓好教师队伍建设，使每个教师都热心于教育事业；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七、做好安全防范，保证学生的人生安全。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收入合计</w:t>
            </w:r>
          </w:p>
        </w:tc>
        <w:tc>
          <w:tcPr>
            <w:tcW w:w="8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一般公共预算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政府性基金拨款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非税收入拨款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1529.55</w:t>
            </w:r>
          </w:p>
        </w:tc>
        <w:tc>
          <w:tcPr>
            <w:tcW w:w="8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1529.55</w:t>
            </w:r>
          </w:p>
        </w:tc>
        <w:tc>
          <w:tcPr>
            <w:tcW w:w="70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45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支出合计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基本支出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1529.55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1339.78</w:t>
            </w:r>
          </w:p>
        </w:tc>
        <w:tc>
          <w:tcPr>
            <w:tcW w:w="228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379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三公经费预算（万元）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公务用车运行和购置费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42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5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部门整体支出年度绩效目标</w:t>
            </w:r>
          </w:p>
        </w:tc>
        <w:tc>
          <w:tcPr>
            <w:tcW w:w="45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一、正确贯彻执行党和国家的教育方针、政策、法规。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二、维护学校的教学秩序，为学生创造良好的学习环境；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三、积极稳妥地推进教育改革，按教育规律办事，不断提高教育质量；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四、根据学校规模，设置学校管理机构，建立健全各项规章制度和岗位责任制。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五、坚持教书育人，服务育人，环境育人方针，加强对学生的思想品德教育，使学生的德智体全面发展。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六、抓好教师队伍建设，使每个教师都热心于教育事业；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七、做好安全防范，保证学生的人生安全。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其中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8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指标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整体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管理机构设置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教师专业培训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≥4次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学校开展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社团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活动类型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涉及器乐、剪纸、舞蹈、足球、美术、围棋等共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个社团班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学生人数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=2773人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质量指标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机构效用率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学生社团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参与率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教学质量合格率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维修及时率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机构设置及时率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人员经费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≤1270.91万元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对个人及家庭补助经费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=27.04万元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日常公用经费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=41.83万元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专项经费支出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=189.77万元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社会效益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深入推进素质教育，努力提高育人质量，构建平安和谐校园。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有所提高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提高全民关心教育的激情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明显增长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提高全民重视教育的程度</w:t>
            </w:r>
          </w:p>
        </w:tc>
        <w:tc>
          <w:tcPr>
            <w:tcW w:w="1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有所提升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可持续影响</w:t>
            </w:r>
          </w:p>
        </w:tc>
        <w:tc>
          <w:tcPr>
            <w:tcW w:w="3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植优补短，给学生创造一个舒适、宽松、愉悦的学习环境。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良好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使得学校工作人员的生活质量得到切实保障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有所帮助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服务对象满意度</w:t>
            </w: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满意度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家长满意度</w:t>
            </w:r>
          </w:p>
        </w:tc>
        <w:tc>
          <w:tcPr>
            <w:tcW w:w="1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6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53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6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教师满意度</w:t>
            </w:r>
          </w:p>
        </w:tc>
        <w:tc>
          <w:tcPr>
            <w:tcW w:w="13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433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创卫工作和疫情防控经费没有着落。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社会保险缴纳存在缺口，汇缴机制不畅。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退休教师反映的“七节一生”经费无法得到落实。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财政部门业务股室审核意见</w:t>
            </w:r>
          </w:p>
        </w:tc>
        <w:tc>
          <w:tcPr>
            <w:tcW w:w="19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7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财政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部门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监督绩效股审核意见</w:t>
            </w:r>
          </w:p>
        </w:tc>
        <w:tc>
          <w:tcPr>
            <w:tcW w:w="165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p/>
    <w:sectPr>
      <w:pgSz w:w="11906" w:h="16838"/>
      <w:pgMar w:top="1440" w:right="1689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0506"/>
    <w:multiLevelType w:val="singleLevel"/>
    <w:tmpl w:val="52B70506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23E4E"/>
    <w:rsid w:val="04A24052"/>
    <w:rsid w:val="12AF612A"/>
    <w:rsid w:val="191E5CF3"/>
    <w:rsid w:val="30A23E4E"/>
    <w:rsid w:val="367379DE"/>
    <w:rsid w:val="379C07CC"/>
    <w:rsid w:val="6E7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2020-07-07T01:24:00Z</dcterms:created>
  <dc:creator>三乙文</dc:creator>
  <cp:lastModifiedBy>妞妞兔</cp:lastModifiedBy>
  <dcterms:modified xsi:type="dcterms:W3CDTF">2020-07-21T01:02:16Z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