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36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525"/>
        <w:gridCol w:w="1125"/>
        <w:gridCol w:w="1500"/>
        <w:gridCol w:w="270"/>
        <w:gridCol w:w="1625"/>
        <w:gridCol w:w="690"/>
        <w:gridCol w:w="1180"/>
        <w:gridCol w:w="90"/>
        <w:gridCol w:w="424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祝融街道办事处部门整体支出绩效目标申报表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5" w:hRule="atLeast"/>
          <w:jc w:val="center"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hAnsi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2020 </w:t>
            </w:r>
            <w:r>
              <w:rPr>
                <w:rStyle w:val="5"/>
                <w:rFonts w:hAnsi="宋体"/>
                <w:sz w:val="24"/>
                <w:szCs w:val="24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2" w:hRule="atLeast"/>
          <w:jc w:val="center"/>
        </w:trPr>
        <w:tc>
          <w:tcPr>
            <w:tcW w:w="9536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填报单位（盖章）：南岳区祝融街道办事处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单位负责人：尹晖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部门基本信息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7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衡阳市南岳区祝融街道办事处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绩效管理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旷文倩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联系电话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18216015913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人员编制数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实有人数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部门职能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职责概述</w:t>
            </w:r>
          </w:p>
        </w:tc>
        <w:tc>
          <w:tcPr>
            <w:tcW w:w="7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105" w:leftChars="50" w:right="105" w:rightChars="5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1、宣传贯彻落实法律法规和党的各项方针政策，坚持依法行政，推进民主政治发展，促进居民自治，加强基层党组织和政权建设。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促进经济发展，增加居民收入。加快城市建设管理，服务旅游经济发展。着力培养和发展现代旅游服务业，推动产业结构调整。促进民营经济发展，引导居民多渠道转移就业，增加居民收入，不断提高人民生活水平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强化公共服务，着力改善民生。强化城区基础设施建设，改善居民生产生活条件。落实计划生育基本国策，推进优生优育，稳定低生育水平。促进义务教育发展，推动公共卫生体系和基本医疗体系建设，加强公共文化设施建设，丰富居民群众文化生活，发展体育事业，培养社会主义新型居民。做好防灾减灾、五保供养、优抚安置、低保、扶贫救济、养老保险和其他社会救助工作。发展老龄服务。加强残疾预防和残疾人康复工作。做好外出务工人员技能培训的服务工作，促进城乡劳动者平等就业。完善公共服务体系，形成管理有序、服务完善、文明祥和的社会生活共同体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加强社会管理，维护社会稳定。加强民主法制建设，深入开展社区法制宣传教育，善于运用法制思维和法制方式做好“和谐社会创建”工作。加强社会治安综合治理，完善社区治安防控体系，保障人民生命财产安全。做好群众信访工作，畅通诉求渠道，及时掌握社情民意，排查化解矛盾纠纷，妥善处理人民内部矛盾。建立健全应急管理体制，提高危机处置能力。依法管理宗教事务，反对和制止利用宗教和宗教势力干预社区公共事务。协助区级有关部门做好安全生产、市场监管、劳动监察、环境卫生、水利建设等方面的工作。保证社会公正，维护社会秩序和社会稳定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推动基层民主，促进社会和谐。加强社区党的基层组织建设、社区基层干部队伍建设、社区党员队伍建设。做好办事处人大、群团、国防教育、兵役、民兵等工作。指导居民自治、完善民主议事制度，推进居务公开、财务公开，引导居民有序参与社区事务管理，推动社区建设，促进社会组织健康发展，增强社会自治功能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6、加强生态环境建设和保护，做好本行政区域内风景名胜资源的保护。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7、负责完成上级交办的其它工作任务。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一般公共预算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政府性基金拨款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非税收入拨款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649.4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5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210.6</w:t>
            </w:r>
          </w:p>
        </w:tc>
        <w:tc>
          <w:tcPr>
            <w:tcW w:w="5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438.8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</w:t>
            </w:r>
          </w:p>
        </w:tc>
        <w:tc>
          <w:tcPr>
            <w:tcW w:w="7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三公经费预算（万元）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公务用车运行和购置费</w:t>
            </w:r>
          </w:p>
        </w:tc>
        <w:tc>
          <w:tcPr>
            <w:tcW w:w="4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8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年度绩效目标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部门整体支出</w:t>
            </w:r>
          </w:p>
        </w:tc>
        <w:tc>
          <w:tcPr>
            <w:tcW w:w="88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在今年收支预算内，确保完成以下整体目标：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目标1：实施城中村改造重点工程项目，改善民生，保障西城区拆迁安置户房屋安全；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目标2：四个社区包干经费，保障街道社区（居委会）全年各项工作正常开展；                                               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目标3：保障四个社区退休人员养老金及生活补贴，绩效考核奖金按时发放；                                                                                           目标4：四个社区惠民项目资金，保障社区（居委会）各项惠民措施实施到位，民居生活环境得到提升。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三级指标内容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三级指标目标值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鑫聚缘二期土地出让面积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=8.73亩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城中村项目配套基础设施项目建设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规划、住建、环保、消防等部门专项验收合格率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工程综合验收合格率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按规定时间完成任务及时率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应返还开发商土地出让收入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≤296.8725万元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改善城市居民的住房条件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有效提高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改善城市整体容貌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有明显改善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有助于城市交通道路环境改善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改善城市居民的住房条件、改善城市道路环境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有效提升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6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城市居民住房结构得到优化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拆迁户满意度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辖区内社区数量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社区环境卫生整治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=4个社区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辖区内社区工作人员数量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保障社区正常运转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社区正常运转时间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社区内小区正常运转各项总费用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≤35万元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全年对每个社区工作人员补助标准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≤6万元/人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执行标的额到位率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社区下辖的小区环境卫生得到改善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社区居民居住环境得到提升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小区居民满意度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社区退休人员补贴对象总人数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=14人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社区退休人员补贴发放及时率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社区退休人员补贴发放时间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发放补贴、奖金等总经费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≤42.8万元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执行标的额到位率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保障退休人员的基本生活支出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是否持续发放补贴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社区退休人员满意度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≥100%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惠民社区数量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=4个社区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社区开展文体和文化活动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≥12次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社区监控、健身器材等公共设备维修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=4个社区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社区道路、围墙、栏杆等维修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惠民项目在辖区内覆盖率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惠民项目完成合格率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惠民项目完成及时率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每个社区全年惠民项目经费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≤10万元/社区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经费下发的到位率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社区文化环境、公共设施得到改善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社区文化环境、各项指标提升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社区惠民群众满意度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25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的问题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97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财政部门业务股室审核意见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监督绩效股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0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3E91"/>
    <w:rsid w:val="033026C5"/>
    <w:rsid w:val="0B753E91"/>
    <w:rsid w:val="64562E0A"/>
    <w:rsid w:val="71B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仿宋_GB2312" w:eastAsia="仿宋_GB2312" w:cs="仿宋_GB2312"/>
      <w:b/>
      <w:color w:val="000000"/>
      <w:sz w:val="32"/>
      <w:szCs w:val="32"/>
      <w:u w:val="single"/>
    </w:rPr>
  </w:style>
  <w:style w:type="character" w:customStyle="1" w:styleId="5">
    <w:name w:val="font121"/>
    <w:basedOn w:val="3"/>
    <w:uiPriority w:val="0"/>
    <w:rPr>
      <w:rFonts w:hint="default"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2020-07-04T21:07:00Z</dcterms:created>
  <dc:creator>风声水起</dc:creator>
  <cp:lastModifiedBy>风声水起</cp:lastModifiedBy>
  <dcterms:modified xsi:type="dcterms:W3CDTF">2020-07-04T21:37:51Z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