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38" w:type="dxa"/>
        <w:jc w:val="center"/>
        <w:tblLayout w:type="autofit"/>
        <w:tblCellMar>
          <w:top w:w="0" w:type="dxa"/>
          <w:left w:w="0" w:type="dxa"/>
          <w:bottom w:w="0" w:type="dxa"/>
          <w:right w:w="0" w:type="dxa"/>
        </w:tblCellMar>
      </w:tblPr>
      <w:tblGrid>
        <w:gridCol w:w="949"/>
        <w:gridCol w:w="1024"/>
        <w:gridCol w:w="1387"/>
        <w:gridCol w:w="1283"/>
        <w:gridCol w:w="1920"/>
        <w:gridCol w:w="3075"/>
      </w:tblGrid>
      <w:tr>
        <w:tblPrEx>
          <w:tblCellMar>
            <w:top w:w="0" w:type="dxa"/>
            <w:left w:w="0" w:type="dxa"/>
            <w:bottom w:w="0" w:type="dxa"/>
            <w:right w:w="0" w:type="dxa"/>
          </w:tblCellMar>
        </w:tblPrEx>
        <w:trPr>
          <w:trHeight w:val="540" w:hRule="atLeast"/>
          <w:jc w:val="center"/>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44"/>
                <w:szCs w:val="44"/>
              </w:rPr>
            </w:pPr>
            <w:bookmarkStart w:id="0" w:name="_GoBack"/>
            <w:r>
              <w:rPr>
                <w:rFonts w:ascii="方正小标宋简体" w:hAnsi="方正小标宋简体" w:eastAsia="方正小标宋简体" w:cs="方正小标宋简体"/>
                <w:color w:val="000000"/>
                <w:kern w:val="0"/>
                <w:sz w:val="44"/>
                <w:szCs w:val="44"/>
              </w:rPr>
              <w:t>自然保护区管理局整体支出绩效目标申报表</w:t>
            </w:r>
            <w:bookmarkEnd w:id="0"/>
          </w:p>
        </w:tc>
      </w:tr>
      <w:tr>
        <w:tblPrEx>
          <w:tblCellMar>
            <w:top w:w="0" w:type="dxa"/>
            <w:left w:w="0" w:type="dxa"/>
            <w:bottom w:w="0" w:type="dxa"/>
            <w:right w:w="0" w:type="dxa"/>
          </w:tblCellMar>
        </w:tblPrEx>
        <w:trPr>
          <w:trHeight w:val="405" w:hRule="atLeast"/>
          <w:jc w:val="center"/>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kern w:val="0"/>
                <w:sz w:val="32"/>
                <w:szCs w:val="32"/>
              </w:rPr>
              <w:t>（202</w:t>
            </w:r>
            <w:r>
              <w:rPr>
                <w:rFonts w:hint="eastAsia" w:ascii="仿宋_GB2312" w:hAnsi="宋体" w:eastAsia="仿宋_GB2312" w:cs="仿宋_GB2312"/>
                <w:b/>
                <w:color w:val="000000"/>
                <w:kern w:val="0"/>
                <w:sz w:val="32"/>
                <w:szCs w:val="32"/>
              </w:rPr>
              <w:t>1</w:t>
            </w:r>
            <w:r>
              <w:rPr>
                <w:rFonts w:ascii="仿宋_GB2312" w:hAnsi="宋体" w:eastAsia="仿宋_GB2312" w:cs="仿宋_GB2312"/>
                <w:b/>
                <w:color w:val="000000"/>
                <w:kern w:val="0"/>
                <w:sz w:val="32"/>
                <w:szCs w:val="32"/>
              </w:rPr>
              <w:t>年度）</w:t>
            </w:r>
          </w:p>
        </w:tc>
      </w:tr>
      <w:tr>
        <w:tblPrEx>
          <w:tblCellMar>
            <w:top w:w="0" w:type="dxa"/>
            <w:left w:w="0" w:type="dxa"/>
            <w:bottom w:w="0" w:type="dxa"/>
            <w:right w:w="0" w:type="dxa"/>
          </w:tblCellMar>
        </w:tblPrEx>
        <w:trPr>
          <w:trHeight w:val="447" w:hRule="atLeast"/>
          <w:jc w:val="center"/>
        </w:trPr>
        <w:tc>
          <w:tcPr>
            <w:tcW w:w="3360" w:type="dxa"/>
            <w:gridSpan w:val="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填报单位（盖章）：</w:t>
            </w:r>
          </w:p>
        </w:tc>
        <w:tc>
          <w:tcPr>
            <w:tcW w:w="1283" w:type="dxa"/>
            <w:tcBorders>
              <w:top w:val="nil"/>
              <w:left w:val="nil"/>
              <w:bottom w:val="nil"/>
              <w:right w:val="nil"/>
            </w:tcBorders>
            <w:shd w:val="clear" w:color="auto" w:fill="auto"/>
            <w:tcMar>
              <w:top w:w="15" w:type="dxa"/>
              <w:left w:w="15" w:type="dxa"/>
              <w:right w:w="15" w:type="dxa"/>
            </w:tcMar>
            <w:vAlign w:val="center"/>
          </w:tcPr>
          <w:p>
            <w:pPr>
              <w:rPr>
                <w:rFonts w:ascii="仿宋_GB2312" w:hAnsi="宋体" w:eastAsia="仿宋_GB2312" w:cs="仿宋_GB2312"/>
                <w:color w:val="000000"/>
                <w:sz w:val="24"/>
              </w:rPr>
            </w:pPr>
          </w:p>
        </w:tc>
        <w:tc>
          <w:tcPr>
            <w:tcW w:w="4995" w:type="dxa"/>
            <w:gridSpan w:val="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单位负责人：周和平</w:t>
            </w:r>
          </w:p>
        </w:tc>
      </w:tr>
      <w:tr>
        <w:tblPrEx>
          <w:tblCellMar>
            <w:top w:w="0" w:type="dxa"/>
            <w:left w:w="0" w:type="dxa"/>
            <w:bottom w:w="0" w:type="dxa"/>
            <w:right w:w="0" w:type="dxa"/>
          </w:tblCellMar>
        </w:tblPrEx>
        <w:trPr>
          <w:trHeight w:val="447" w:hRule="atLeast"/>
          <w:jc w:val="center"/>
        </w:trPr>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部门基本信息</w:t>
            </w: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预算单位</w:t>
            </w:r>
          </w:p>
        </w:tc>
        <w:tc>
          <w:tcPr>
            <w:tcW w:w="7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湖南南岳衡山国家级自然保护区管理局</w:t>
            </w:r>
          </w:p>
        </w:tc>
      </w:tr>
      <w:tr>
        <w:tblPrEx>
          <w:tblCellMar>
            <w:top w:w="0" w:type="dxa"/>
            <w:left w:w="0" w:type="dxa"/>
            <w:bottom w:w="0" w:type="dxa"/>
            <w:right w:w="0" w:type="dxa"/>
          </w:tblCellMar>
        </w:tblPrEx>
        <w:trPr>
          <w:trHeight w:val="619"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绩效管理</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联系人</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李凤云</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联系电话</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15116819235</w:t>
            </w:r>
          </w:p>
        </w:tc>
      </w:tr>
      <w:tr>
        <w:tblPrEx>
          <w:tblCellMar>
            <w:top w:w="0" w:type="dxa"/>
            <w:left w:w="0" w:type="dxa"/>
            <w:bottom w:w="0" w:type="dxa"/>
            <w:right w:w="0" w:type="dxa"/>
          </w:tblCellMar>
        </w:tblPrEx>
        <w:trPr>
          <w:trHeight w:val="705"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人员编制数</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30</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实有人数</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21</w:t>
            </w:r>
          </w:p>
        </w:tc>
      </w:tr>
      <w:tr>
        <w:tblPrEx>
          <w:tblCellMar>
            <w:top w:w="0" w:type="dxa"/>
            <w:left w:w="0" w:type="dxa"/>
            <w:bottom w:w="0" w:type="dxa"/>
            <w:right w:w="0" w:type="dxa"/>
          </w:tblCellMar>
        </w:tblPrEx>
        <w:trPr>
          <w:trHeight w:val="2775"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部门职能</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职责概述</w:t>
            </w:r>
          </w:p>
        </w:tc>
        <w:tc>
          <w:tcPr>
            <w:tcW w:w="7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50" w:afterLines="50"/>
              <w:ind w:left="105" w:leftChars="50" w:right="105" w:rightChars="50"/>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贯彻执行有关自然保护和自然保护区的法律、法规和方针政策。2．编制保护区总体规划、项目规划和组织制定保护区的管理办法和规章制度，并负责组织实施和监督落实。3．负责保护区内的自然资源管理和生态保护修复。4．制定保护区生物多样性监测规划，开展保护区资源本底调查和监测工作。5．制定科研计划，组织实施科研课题，负责国内外学术交流与合作。6．开展自然保护区的保护意识宣传教育和业务培训工作。7．负责自然保护区人为活动监管工作。8．在不影响保护区生态环境和自然资源的前提下，负责在指定范围内组织开展自然体验、森林康养及生态旅游等具有保护特色的特许经营活动，增强保护区自我发展能力。9．完成区委、区政府交办的其他工作事项。　</w:t>
            </w:r>
          </w:p>
        </w:tc>
      </w:tr>
      <w:tr>
        <w:tblPrEx>
          <w:tblCellMar>
            <w:top w:w="0" w:type="dxa"/>
            <w:left w:w="0" w:type="dxa"/>
            <w:bottom w:w="0" w:type="dxa"/>
            <w:right w:w="0" w:type="dxa"/>
          </w:tblCellMar>
        </w:tblPrEx>
        <w:trPr>
          <w:trHeight w:val="447"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868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单位年度收入预算（万元）</w:t>
            </w:r>
          </w:p>
        </w:tc>
      </w:tr>
      <w:tr>
        <w:tblPrEx>
          <w:tblCellMar>
            <w:top w:w="0" w:type="dxa"/>
            <w:left w:w="0" w:type="dxa"/>
            <w:bottom w:w="0" w:type="dxa"/>
            <w:right w:w="0" w:type="dxa"/>
          </w:tblCellMar>
        </w:tblPrEx>
        <w:trPr>
          <w:trHeight w:val="679"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收入合计</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一般公共预算</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政府性基金拨款</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非税收入拨款</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其他资金</w:t>
            </w:r>
          </w:p>
        </w:tc>
      </w:tr>
      <w:tr>
        <w:tblPrEx>
          <w:tblCellMar>
            <w:top w:w="0" w:type="dxa"/>
            <w:left w:w="0" w:type="dxa"/>
            <w:bottom w:w="0" w:type="dxa"/>
            <w:right w:w="0" w:type="dxa"/>
          </w:tblCellMar>
        </w:tblPrEx>
        <w:trPr>
          <w:trHeight w:val="480"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355.53</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355.53</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2"/>
                <w:szCs w:val="22"/>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r>
      <w:tr>
        <w:tblPrEx>
          <w:tblCellMar>
            <w:top w:w="0" w:type="dxa"/>
            <w:left w:w="0" w:type="dxa"/>
            <w:bottom w:w="0" w:type="dxa"/>
            <w:right w:w="0" w:type="dxa"/>
          </w:tblCellMar>
        </w:tblPrEx>
        <w:trPr>
          <w:trHeight w:val="447"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868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单位年度支出预算（万元）</w:t>
            </w:r>
          </w:p>
        </w:tc>
      </w:tr>
      <w:tr>
        <w:tblPrEx>
          <w:tblCellMar>
            <w:top w:w="0" w:type="dxa"/>
            <w:left w:w="0" w:type="dxa"/>
            <w:bottom w:w="0" w:type="dxa"/>
            <w:right w:w="0" w:type="dxa"/>
          </w:tblCellMar>
        </w:tblPrEx>
        <w:trPr>
          <w:trHeight w:val="447"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支出合计</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基本支出</w:t>
            </w:r>
          </w:p>
        </w:tc>
        <w:tc>
          <w:tcPr>
            <w:tcW w:w="4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项目支出</w:t>
            </w:r>
          </w:p>
        </w:tc>
      </w:tr>
      <w:tr>
        <w:tblPrEx>
          <w:tblCellMar>
            <w:top w:w="0" w:type="dxa"/>
            <w:left w:w="0" w:type="dxa"/>
            <w:bottom w:w="0" w:type="dxa"/>
            <w:right w:w="0" w:type="dxa"/>
          </w:tblCellMar>
        </w:tblPrEx>
        <w:trPr>
          <w:trHeight w:val="447"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355.53</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301.36</w:t>
            </w:r>
          </w:p>
        </w:tc>
        <w:tc>
          <w:tcPr>
            <w:tcW w:w="49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54.1</w:t>
            </w:r>
            <w:r>
              <w:rPr>
                <w:rFonts w:hint="eastAsia" w:ascii="仿宋_GB2312" w:hAnsi="宋体" w:eastAsia="仿宋_GB2312" w:cs="仿宋_GB2312"/>
                <w:color w:val="000000"/>
                <w:kern w:val="0"/>
                <w:sz w:val="24"/>
              </w:rPr>
              <w:t>7</w:t>
            </w:r>
          </w:p>
        </w:tc>
      </w:tr>
      <w:tr>
        <w:tblPrEx>
          <w:tblCellMar>
            <w:top w:w="0" w:type="dxa"/>
            <w:left w:w="0" w:type="dxa"/>
            <w:bottom w:w="0" w:type="dxa"/>
            <w:right w:w="0" w:type="dxa"/>
          </w:tblCellMar>
        </w:tblPrEx>
        <w:trPr>
          <w:trHeight w:val="447"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其中</w:t>
            </w:r>
          </w:p>
        </w:tc>
        <w:tc>
          <w:tcPr>
            <w:tcW w:w="76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三公经费预算（万元）</w:t>
            </w:r>
          </w:p>
        </w:tc>
      </w:tr>
      <w:tr>
        <w:tblPrEx>
          <w:tblCellMar>
            <w:top w:w="0" w:type="dxa"/>
            <w:left w:w="0" w:type="dxa"/>
            <w:bottom w:w="0" w:type="dxa"/>
            <w:right w:w="0" w:type="dxa"/>
          </w:tblCellMar>
        </w:tblPrEx>
        <w:trPr>
          <w:trHeight w:val="447"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合计</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公务用车运行和购置费</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因公出国（境）费</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公务接待费</w:t>
            </w:r>
          </w:p>
        </w:tc>
      </w:tr>
      <w:tr>
        <w:tblPrEx>
          <w:tblCellMar>
            <w:top w:w="0" w:type="dxa"/>
            <w:left w:w="0" w:type="dxa"/>
            <w:bottom w:w="0" w:type="dxa"/>
            <w:right w:w="0" w:type="dxa"/>
          </w:tblCellMar>
        </w:tblPrEx>
        <w:trPr>
          <w:trHeight w:val="447"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9.5</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4.5</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w:t>
            </w:r>
          </w:p>
        </w:tc>
      </w:tr>
      <w:tr>
        <w:tblPrEx>
          <w:tblCellMar>
            <w:top w:w="0" w:type="dxa"/>
            <w:left w:w="0" w:type="dxa"/>
            <w:bottom w:w="0" w:type="dxa"/>
            <w:right w:w="0" w:type="dxa"/>
          </w:tblCellMar>
        </w:tblPrEx>
        <w:trPr>
          <w:trHeight w:val="55"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部门</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整体</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支出</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年度</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绩效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目标</w:t>
            </w:r>
            <w:r>
              <w:rPr>
                <w:rFonts w:hint="eastAsia" w:ascii="黑体" w:hAnsi="宋体" w:eastAsia="黑体" w:cs="黑体"/>
                <w:color w:val="000000"/>
                <w:kern w:val="0"/>
                <w:sz w:val="24"/>
              </w:rPr>
              <w:br w:type="textWrapping"/>
            </w:r>
          </w:p>
          <w:p>
            <w:pPr>
              <w:rPr>
                <w:rFonts w:ascii="黑体" w:hAnsi="宋体" w:eastAsia="黑体" w:cs="黑体"/>
                <w:sz w:val="24"/>
              </w:rPr>
            </w:pPr>
          </w:p>
        </w:tc>
        <w:tc>
          <w:tcPr>
            <w:tcW w:w="868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在今年收支预算内，确保完成以下整体目标：</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1、按照“绿盾2017”、“绿盾2018”自然保护区监督检查专项行动和中央环保督查及“回头看”的要求将所有问题整改到位并按程序销号完成，对暂未销号的问题盯紧不放，持续推动整改工作。2、按国家层面的新政策新规则，重新编制南岳衡山国家级自然保护区范围和功能区调整方案并按程序逐级上报。3、加强宣传和监管，提升自然保护区管理能力。</w:t>
            </w:r>
          </w:p>
        </w:tc>
      </w:tr>
      <w:tr>
        <w:tblPrEx>
          <w:tblCellMar>
            <w:top w:w="0" w:type="dxa"/>
            <w:left w:w="0" w:type="dxa"/>
            <w:bottom w:w="0" w:type="dxa"/>
            <w:right w:w="0" w:type="dxa"/>
          </w:tblCellMar>
        </w:tblPrEx>
        <w:trPr>
          <w:trHeight w:val="1033" w:hRule="atLeast"/>
          <w:jc w:val="center"/>
        </w:trPr>
        <w:tc>
          <w:tcPr>
            <w:tcW w:w="94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中其</w:t>
            </w:r>
          </w:p>
        </w:tc>
        <w:tc>
          <w:tcPr>
            <w:tcW w:w="102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一级指标</w:t>
            </w:r>
          </w:p>
        </w:tc>
        <w:tc>
          <w:tcPr>
            <w:tcW w:w="1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二级指标</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三级指标内容</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三级指标目标值</w:t>
            </w:r>
          </w:p>
        </w:tc>
      </w:tr>
      <w:tr>
        <w:tblPrEx>
          <w:tblCellMar>
            <w:top w:w="0" w:type="dxa"/>
            <w:left w:w="0" w:type="dxa"/>
            <w:bottom w:w="0" w:type="dxa"/>
            <w:right w:w="0" w:type="dxa"/>
          </w:tblCellMar>
        </w:tblPrEx>
        <w:trPr>
          <w:trHeight w:val="567" w:hRule="atLeast"/>
          <w:jc w:val="center"/>
        </w:trPr>
        <w:tc>
          <w:tcPr>
            <w:tcW w:w="94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部门</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整体</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支出</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年度</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绩效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指标</w:t>
            </w:r>
            <w:r>
              <w:rPr>
                <w:rFonts w:hint="eastAsia" w:ascii="黑体" w:hAnsi="宋体" w:eastAsia="黑体" w:cs="黑体"/>
                <w:color w:val="000000"/>
                <w:kern w:val="0"/>
                <w:sz w:val="24"/>
              </w:rPr>
              <w:br w:type="textWrapping"/>
            </w:r>
          </w:p>
          <w:p>
            <w:pPr>
              <w:widowControl/>
              <w:jc w:val="center"/>
              <w:textAlignment w:val="center"/>
              <w:rPr>
                <w:rFonts w:ascii="黑体" w:hAnsi="宋体" w:eastAsia="黑体" w:cs="黑体"/>
                <w:color w:val="000000"/>
                <w:sz w:val="24"/>
              </w:rPr>
            </w:pPr>
          </w:p>
        </w:tc>
        <w:tc>
          <w:tcPr>
            <w:tcW w:w="102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ascii="仿宋_GB2312" w:hAnsi="宋体" w:eastAsia="仿宋_GB2312" w:cs="仿宋_GB2312"/>
                <w:color w:val="000000"/>
                <w:kern w:val="0"/>
                <w:sz w:val="24"/>
              </w:rPr>
              <w:t>产出</w:t>
            </w:r>
          </w:p>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指标</w:t>
            </w:r>
          </w:p>
        </w:tc>
        <w:tc>
          <w:tcPr>
            <w:tcW w:w="1387"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ascii="仿宋_GB2312" w:hAnsi="宋体" w:eastAsia="仿宋_GB2312" w:cs="仿宋_GB2312"/>
                <w:color w:val="000000"/>
                <w:kern w:val="0"/>
                <w:sz w:val="24"/>
              </w:rPr>
              <w:t>数量</w:t>
            </w:r>
          </w:p>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指标</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环保督查</w:t>
            </w:r>
            <w:r>
              <w:rPr>
                <w:rFonts w:hint="eastAsia" w:ascii="仿宋_GB2312" w:hAnsi="宋体" w:eastAsia="仿宋_GB2312" w:cs="仿宋_GB2312"/>
                <w:color w:val="000000"/>
                <w:kern w:val="0"/>
                <w:sz w:val="24"/>
              </w:rPr>
              <w:t>问题</w:t>
            </w:r>
            <w:r>
              <w:rPr>
                <w:rFonts w:ascii="仿宋_GB2312" w:hAnsi="宋体" w:eastAsia="仿宋_GB2312" w:cs="仿宋_GB2312"/>
                <w:color w:val="000000"/>
                <w:kern w:val="0"/>
                <w:sz w:val="24"/>
              </w:rPr>
              <w:t>整改销号</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按照“绿盾2017”、“绿盾2018”自然保护区监督检查专项行动和中央环保督查及“回头看”的要求将所有问题整改到位并按程序销号完成，对暂未销号的问题盯紧不放，持续推动整改工作。</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对保护区范围内已关停、整改、复绿的涉矿企业执法监管到位</w:t>
            </w:r>
            <w:r>
              <w:rPr>
                <w:rFonts w:hint="eastAsia" w:ascii="仿宋_GB2312" w:hAnsi="宋体" w:eastAsia="仿宋_GB2312" w:cs="仿宋_GB2312"/>
                <w:color w:val="000000"/>
                <w:kern w:val="0"/>
                <w:sz w:val="24"/>
              </w:rPr>
              <w:t>率</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beforeLines="10" w:afterLines="10"/>
              <w:ind w:left="21" w:leftChars="10" w:right="21" w:rightChars="1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w:t>
            </w:r>
            <w:r>
              <w:rPr>
                <w:rFonts w:ascii="仿宋_GB2312" w:hAnsi="宋体" w:eastAsia="仿宋_GB2312" w:cs="仿宋_GB2312"/>
                <w:color w:val="000000"/>
                <w:kern w:val="0"/>
                <w:sz w:val="24"/>
              </w:rPr>
              <w:t>100%</w:t>
            </w:r>
            <w:r>
              <w:rPr>
                <w:rFonts w:hint="eastAsia" w:ascii="仿宋_GB2312" w:hAnsi="宋体" w:eastAsia="仿宋_GB2312" w:cs="仿宋_GB2312"/>
                <w:color w:val="000000"/>
                <w:kern w:val="0"/>
                <w:sz w:val="24"/>
              </w:rPr>
              <w:t>（</w:t>
            </w:r>
            <w:r>
              <w:rPr>
                <w:rFonts w:ascii="仿宋_GB2312" w:hAnsi="宋体" w:eastAsia="仿宋_GB2312" w:cs="仿宋_GB2312"/>
                <w:color w:val="000000"/>
                <w:kern w:val="0"/>
                <w:sz w:val="24"/>
              </w:rPr>
              <w:t>坚决防止前期已整改到位、后期出现死灰复燃现象，切实保障整改成果，做到已整改到位的问题不反弹，坚决不能出现任何破坏生态环境和自然资源的违法违规行为。</w:t>
            </w:r>
            <w:r>
              <w:rPr>
                <w:rFonts w:hint="eastAsia" w:ascii="仿宋_GB2312" w:hAnsi="宋体" w:eastAsia="仿宋_GB2312" w:cs="仿宋_GB2312"/>
                <w:color w:val="000000"/>
                <w:kern w:val="0"/>
                <w:sz w:val="24"/>
              </w:rPr>
              <w:t>）</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对保护区进行全覆盖巡查</w:t>
            </w:r>
            <w:r>
              <w:rPr>
                <w:rFonts w:hint="eastAsia" w:ascii="仿宋_GB2312" w:hAnsi="宋体" w:eastAsia="仿宋_GB2312" w:cs="仿宋_GB2312"/>
                <w:color w:val="000000"/>
                <w:kern w:val="0"/>
                <w:sz w:val="24"/>
              </w:rPr>
              <w:t>频次</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每周</w:t>
            </w:r>
            <w:r>
              <w:rPr>
                <w:rFonts w:hint="eastAsia" w:ascii="仿宋_GB2312" w:hAnsi="宋体" w:eastAsia="仿宋_GB2312" w:cs="仿宋_GB2312"/>
                <w:color w:val="000000"/>
                <w:kern w:val="0"/>
                <w:sz w:val="24"/>
              </w:rPr>
              <w:t>二</w:t>
            </w:r>
            <w:r>
              <w:rPr>
                <w:rFonts w:ascii="仿宋_GB2312" w:hAnsi="宋体" w:eastAsia="仿宋_GB2312" w:cs="仿宋_GB2312"/>
                <w:color w:val="000000"/>
                <w:kern w:val="0"/>
                <w:sz w:val="24"/>
              </w:rPr>
              <w:t>次</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textAlignment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保护区生物多样性监测</w:t>
            </w:r>
            <w:r>
              <w:rPr>
                <w:rFonts w:hint="eastAsia" w:ascii="仿宋_GB2312" w:hAnsi="宋体" w:eastAsia="仿宋_GB2312" w:cs="仿宋_GB2312"/>
                <w:color w:val="000000"/>
                <w:kern w:val="0"/>
                <w:sz w:val="24"/>
              </w:rPr>
              <w:t>类型，</w:t>
            </w:r>
            <w:r>
              <w:rPr>
                <w:rFonts w:ascii="仿宋_GB2312" w:hAnsi="宋体" w:eastAsia="仿宋_GB2312" w:cs="仿宋_GB2312"/>
                <w:color w:val="000000"/>
                <w:kern w:val="0"/>
                <w:sz w:val="24"/>
              </w:rPr>
              <w:t>建立保护区自然资源档案</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beforeLines="10" w:afterLines="10"/>
              <w:ind w:left="21" w:leftChars="10" w:right="21" w:rightChars="10"/>
              <w:jc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≥4类（</w:t>
            </w:r>
            <w:r>
              <w:rPr>
                <w:rFonts w:ascii="仿宋_GB2312" w:hAnsi="宋体" w:eastAsia="仿宋_GB2312" w:cs="仿宋_GB2312"/>
                <w:color w:val="000000"/>
                <w:kern w:val="0"/>
                <w:sz w:val="24"/>
              </w:rPr>
              <w:t>动物、植物植被、土壤、气象、生态等科学监测</w:t>
            </w:r>
            <w:r>
              <w:rPr>
                <w:rFonts w:hint="eastAsia" w:ascii="仿宋_GB2312" w:hAnsi="宋体" w:eastAsia="仿宋_GB2312" w:cs="仿宋_GB2312"/>
                <w:color w:val="000000"/>
                <w:kern w:val="0"/>
                <w:sz w:val="24"/>
              </w:rPr>
              <w:t>）</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重新编制</w:t>
            </w:r>
            <w:r>
              <w:rPr>
                <w:rFonts w:ascii="仿宋_GB2312" w:hAnsi="宋体" w:eastAsia="仿宋_GB2312" w:cs="仿宋_GB2312"/>
                <w:color w:val="000000"/>
                <w:kern w:val="0"/>
                <w:sz w:val="24"/>
              </w:rPr>
              <w:t>南岳衡山国家级自然保护区范围和功能区调整方案</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按照</w:t>
            </w:r>
            <w:r>
              <w:rPr>
                <w:rFonts w:ascii="仿宋_GB2312" w:hAnsi="宋体" w:eastAsia="仿宋_GB2312" w:cs="仿宋_GB2312"/>
                <w:color w:val="000000"/>
                <w:kern w:val="0"/>
                <w:sz w:val="24"/>
              </w:rPr>
              <w:t>新政策新规则</w:t>
            </w:r>
            <w:r>
              <w:rPr>
                <w:rFonts w:hint="eastAsia" w:ascii="仿宋_GB2312" w:hAnsi="宋体" w:eastAsia="仿宋_GB2312" w:cs="仿宋_GB2312"/>
                <w:color w:val="000000"/>
                <w:kern w:val="0"/>
                <w:sz w:val="24"/>
              </w:rPr>
              <w:t>要求</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continue"/>
            <w:tcBorders>
              <w:left w:val="single" w:color="auto" w:sz="4" w:space="0"/>
              <w:bottom w:val="nil"/>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在建重点项目数量</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=1个</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ascii="仿宋_GB2312" w:hAnsi="宋体" w:eastAsia="仿宋_GB2312" w:cs="仿宋_GB2312"/>
                <w:color w:val="000000"/>
                <w:kern w:val="0"/>
                <w:sz w:val="24"/>
              </w:rPr>
              <w:t>质量</w:t>
            </w:r>
          </w:p>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指标</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复绿面积</w:t>
            </w:r>
            <w:r>
              <w:rPr>
                <w:rFonts w:hint="eastAsia" w:ascii="仿宋_GB2312" w:hAnsi="宋体" w:eastAsia="仿宋_GB2312" w:cs="仿宋_GB2312"/>
                <w:color w:val="000000"/>
                <w:kern w:val="0"/>
                <w:sz w:val="24"/>
              </w:rPr>
              <w:t>达标率</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r>
              <w:rPr>
                <w:rFonts w:hint="eastAsia" w:ascii="宋体" w:hAnsi="宋体" w:eastAsia="宋体" w:cs="宋体"/>
                <w:color w:val="000000"/>
                <w:kern w:val="0"/>
                <w:sz w:val="24"/>
              </w:rPr>
              <w:t>=100%</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保护区巡护管理达标率</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4"/>
              </w:rPr>
            </w:pPr>
            <w:r>
              <w:rPr>
                <w:rFonts w:hint="eastAsia" w:ascii="宋体" w:hAnsi="宋体" w:eastAsia="宋体" w:cs="宋体"/>
                <w:color w:val="000000"/>
                <w:kern w:val="0"/>
                <w:sz w:val="24"/>
              </w:rPr>
              <w:t>=100</w:t>
            </w:r>
            <w:r>
              <w:rPr>
                <w:rFonts w:hint="eastAsia" w:ascii="仿宋_GB2312" w:hAnsi="宋体" w:eastAsia="仿宋_GB2312" w:cs="仿宋_GB2312"/>
                <w:color w:val="000000"/>
                <w:kern w:val="0"/>
                <w:sz w:val="24"/>
              </w:rPr>
              <w:t>%（进一步完善细化《南岳衡山国家级自然保护区巡护管理工作方案》）</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kern w:val="0"/>
                <w:sz w:val="24"/>
              </w:rPr>
            </w:pP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保护区核心区、缓冲区开展开发建设活动，建设生产经营设施数量</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4"/>
              </w:rPr>
            </w:pPr>
            <w:r>
              <w:rPr>
                <w:rFonts w:hint="eastAsia"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kern w:val="0"/>
                <w:sz w:val="24"/>
              </w:rPr>
            </w:pP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项目验收合格率</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kern w:val="0"/>
                <w:sz w:val="24"/>
              </w:rPr>
            </w:pPr>
            <w:r>
              <w:rPr>
                <w:rFonts w:hint="eastAsia" w:ascii="宋体" w:hAnsi="宋体" w:eastAsia="宋体" w:cs="宋体"/>
                <w:color w:val="000000"/>
                <w:kern w:val="0"/>
                <w:sz w:val="24"/>
              </w:rPr>
              <w:t>=100%</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ascii="仿宋_GB2312" w:hAnsi="宋体" w:eastAsia="仿宋_GB2312" w:cs="仿宋_GB2312"/>
                <w:color w:val="000000"/>
                <w:kern w:val="0"/>
                <w:sz w:val="24"/>
              </w:rPr>
              <w:t>时效</w:t>
            </w:r>
          </w:p>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指标</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主要</w:t>
            </w:r>
            <w:r>
              <w:rPr>
                <w:rFonts w:ascii="仿宋_GB2312" w:hAnsi="宋体" w:eastAsia="仿宋_GB2312" w:cs="仿宋_GB2312"/>
                <w:color w:val="000000"/>
                <w:kern w:val="0"/>
                <w:sz w:val="24"/>
              </w:rPr>
              <w:t>工作任务完成及时率</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=1</w:t>
            </w:r>
            <w:r>
              <w:rPr>
                <w:rFonts w:hint="eastAsia" w:ascii="仿宋_GB2312" w:hAnsi="宋体" w:eastAsia="仿宋_GB2312" w:cs="仿宋_GB2312"/>
                <w:color w:val="000000"/>
                <w:kern w:val="0"/>
                <w:sz w:val="24"/>
              </w:rPr>
              <w:t>00%</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重点项目施工进度执行率</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=100%</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p>
          <w:p>
            <w:pPr>
              <w:widowControl/>
              <w:jc w:val="center"/>
              <w:textAlignment w:val="center"/>
              <w:rPr>
                <w:rFonts w:hint="eastAsia" w:ascii="仿宋_GB2312" w:hAnsi="宋体" w:eastAsia="仿宋_GB2312" w:cs="仿宋_GB2312"/>
                <w:color w:val="000000"/>
                <w:kern w:val="0"/>
                <w:sz w:val="24"/>
              </w:rPr>
            </w:pPr>
          </w:p>
          <w:p>
            <w:pPr>
              <w:widowControl/>
              <w:jc w:val="center"/>
              <w:textAlignment w:val="center"/>
              <w:rPr>
                <w:rFonts w:hint="eastAsia" w:ascii="仿宋_GB2312" w:hAnsi="宋体" w:eastAsia="仿宋_GB2312" w:cs="仿宋_GB2312"/>
                <w:color w:val="000000"/>
                <w:kern w:val="0"/>
                <w:sz w:val="24"/>
              </w:rPr>
            </w:pPr>
          </w:p>
          <w:p>
            <w:pPr>
              <w:widowControl/>
              <w:jc w:val="center"/>
              <w:textAlignment w:val="center"/>
              <w:rPr>
                <w:rFonts w:hint="eastAsia" w:ascii="仿宋_GB2312" w:hAnsi="宋体" w:eastAsia="仿宋_GB2312" w:cs="仿宋_GB2312"/>
                <w:color w:val="000000"/>
                <w:kern w:val="0"/>
                <w:sz w:val="24"/>
              </w:rPr>
            </w:pPr>
          </w:p>
          <w:p>
            <w:pPr>
              <w:widowControl/>
              <w:jc w:val="center"/>
              <w:textAlignment w:val="center"/>
              <w:rPr>
                <w:rFonts w:hint="eastAsia" w:ascii="仿宋_GB2312" w:hAnsi="宋体" w:eastAsia="仿宋_GB2312" w:cs="仿宋_GB2312"/>
                <w:color w:val="000000"/>
                <w:kern w:val="0"/>
                <w:sz w:val="24"/>
              </w:rPr>
            </w:pPr>
          </w:p>
          <w:p>
            <w:pPr>
              <w:widowControl/>
              <w:jc w:val="center"/>
              <w:textAlignment w:val="center"/>
              <w:rPr>
                <w:rFonts w:hint="eastAsia"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效益指标</w:t>
            </w:r>
          </w:p>
        </w:tc>
        <w:tc>
          <w:tcPr>
            <w:tcW w:w="13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ascii="仿宋_GB2312" w:hAnsi="宋体" w:eastAsia="仿宋_GB2312" w:cs="仿宋_GB2312"/>
                <w:color w:val="000000"/>
                <w:kern w:val="0"/>
                <w:sz w:val="24"/>
              </w:rPr>
              <w:t>经济</w:t>
            </w:r>
          </w:p>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效益</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为绿色森林旅游、生态旅游经济带来新的经济增长点</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增长</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ascii="仿宋_GB2312" w:hAnsi="宋体" w:eastAsia="仿宋_GB2312" w:cs="仿宋_GB2312"/>
                <w:color w:val="000000"/>
                <w:kern w:val="0"/>
                <w:sz w:val="24"/>
              </w:rPr>
              <w:t>社会</w:t>
            </w:r>
          </w:p>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效益</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491"/>
                <w:tab w:val="center" w:pos="1693"/>
              </w:tabs>
              <w:spacing w:beforeLines="10" w:afterLines="10"/>
              <w:ind w:left="21" w:leftChars="10" w:right="21" w:rightChars="10"/>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ab/>
            </w:r>
            <w:r>
              <w:rPr>
                <w:rFonts w:hint="eastAsia" w:ascii="仿宋_GB2312" w:hAnsi="宋体" w:eastAsia="仿宋_GB2312" w:cs="仿宋_GB2312"/>
                <w:color w:val="000000"/>
                <w:kern w:val="0"/>
                <w:sz w:val="24"/>
              </w:rPr>
              <w:tab/>
            </w:r>
            <w:r>
              <w:rPr>
                <w:rFonts w:ascii="仿宋_GB2312" w:hAnsi="宋体" w:eastAsia="仿宋_GB2312" w:cs="仿宋_GB2312"/>
                <w:color w:val="000000"/>
                <w:kern w:val="0"/>
                <w:sz w:val="24"/>
              </w:rPr>
              <w:t>全区生态保护工作</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比较明显</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ascii="仿宋_GB2312" w:hAnsi="宋体" w:eastAsia="仿宋_GB2312" w:cs="仿宋_GB2312"/>
                <w:color w:val="000000"/>
                <w:kern w:val="0"/>
                <w:sz w:val="24"/>
              </w:rPr>
              <w:t>环境</w:t>
            </w:r>
          </w:p>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效益</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扎扎实实地落实各项有关自然保护和自然保护区法律法规</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提高</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可持续影响</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切实加强自然保护工作</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自然保护能力提升</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rPr>
            </w:pPr>
            <w:r>
              <w:rPr>
                <w:rFonts w:ascii="仿宋_GB2312" w:hAnsi="宋体" w:eastAsia="仿宋_GB2312" w:cs="仿宋_GB2312"/>
                <w:color w:val="000000"/>
                <w:kern w:val="0"/>
                <w:sz w:val="24"/>
              </w:rPr>
              <w:t>服务对象</w:t>
            </w:r>
          </w:p>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满意度</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上级</w:t>
            </w:r>
            <w:r>
              <w:rPr>
                <w:rFonts w:hint="eastAsia" w:ascii="仿宋_GB2312" w:hAnsi="宋体" w:eastAsia="仿宋_GB2312" w:cs="仿宋_GB2312"/>
                <w:color w:val="000000"/>
                <w:kern w:val="0"/>
                <w:sz w:val="24"/>
              </w:rPr>
              <w:t>主管</w:t>
            </w:r>
            <w:r>
              <w:rPr>
                <w:rFonts w:ascii="仿宋_GB2312" w:hAnsi="宋体" w:eastAsia="仿宋_GB2312" w:cs="仿宋_GB2312"/>
                <w:color w:val="000000"/>
                <w:kern w:val="0"/>
                <w:sz w:val="24"/>
              </w:rPr>
              <w:t>部门满意度</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宋体" w:hAnsi="宋体" w:eastAsia="宋体" w:cs="宋体"/>
                <w:color w:val="000000"/>
                <w:kern w:val="0"/>
                <w:sz w:val="24"/>
              </w:rPr>
              <w:t>≥</w:t>
            </w:r>
            <w:r>
              <w:rPr>
                <w:rFonts w:hint="eastAsia" w:ascii="仿宋_GB2312" w:hAnsi="宋体" w:eastAsia="仿宋_GB2312" w:cs="仿宋_GB2312"/>
                <w:color w:val="000000"/>
                <w:kern w:val="0"/>
                <w:sz w:val="24"/>
              </w:rPr>
              <w:t>95%</w:t>
            </w:r>
          </w:p>
        </w:tc>
      </w:tr>
      <w:tr>
        <w:tblPrEx>
          <w:tblCellMar>
            <w:top w:w="0" w:type="dxa"/>
            <w:left w:w="0" w:type="dxa"/>
            <w:bottom w:w="0" w:type="dxa"/>
            <w:right w:w="0" w:type="dxa"/>
          </w:tblCellMar>
        </w:tblPrEx>
        <w:trPr>
          <w:trHeight w:val="567" w:hRule="atLeast"/>
          <w:jc w:val="center"/>
        </w:trPr>
        <w:tc>
          <w:tcPr>
            <w:tcW w:w="949"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ascii="黑体" w:hAnsi="宋体" w:eastAsia="黑体" w:cs="黑体"/>
                <w:color w:val="000000"/>
                <w:sz w:val="24"/>
              </w:rPr>
            </w:pPr>
          </w:p>
        </w:tc>
        <w:tc>
          <w:tcPr>
            <w:tcW w:w="1024"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1387"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rPr>
            </w:pP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beforeLines="10" w:afterLines="10"/>
              <w:ind w:left="21" w:leftChars="10" w:right="21" w:rightChars="10"/>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群众满意度</w:t>
            </w:r>
          </w:p>
        </w:tc>
        <w:tc>
          <w:tcPr>
            <w:tcW w:w="3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宋体" w:hAnsi="宋体" w:eastAsia="宋体" w:cs="宋体"/>
                <w:color w:val="000000"/>
                <w:kern w:val="0"/>
                <w:sz w:val="24"/>
              </w:rPr>
              <w:t>≥</w:t>
            </w:r>
            <w:r>
              <w:rPr>
                <w:rFonts w:hint="eastAsia" w:ascii="仿宋_GB2312" w:hAnsi="宋体" w:eastAsia="仿宋_GB2312" w:cs="仿宋_GB2312"/>
                <w:color w:val="000000"/>
                <w:kern w:val="0"/>
                <w:sz w:val="24"/>
              </w:rPr>
              <w:t>95%</w:t>
            </w:r>
          </w:p>
        </w:tc>
      </w:tr>
      <w:tr>
        <w:tblPrEx>
          <w:tblCellMar>
            <w:top w:w="0" w:type="dxa"/>
            <w:left w:w="0" w:type="dxa"/>
            <w:bottom w:w="0" w:type="dxa"/>
            <w:right w:w="0" w:type="dxa"/>
          </w:tblCellMar>
        </w:tblPrEx>
        <w:trPr>
          <w:trHeight w:val="1876"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其他需要说明的问题</w:t>
            </w:r>
          </w:p>
        </w:tc>
        <w:tc>
          <w:tcPr>
            <w:tcW w:w="868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rPr>
            </w:pPr>
          </w:p>
        </w:tc>
      </w:tr>
      <w:tr>
        <w:tblPrEx>
          <w:tblCellMar>
            <w:top w:w="0" w:type="dxa"/>
            <w:left w:w="0" w:type="dxa"/>
            <w:bottom w:w="0" w:type="dxa"/>
            <w:right w:w="0" w:type="dxa"/>
          </w:tblCellMar>
        </w:tblPrEx>
        <w:trPr>
          <w:trHeight w:val="3030" w:hRule="atLeast"/>
          <w:jc w:val="center"/>
        </w:trPr>
        <w:tc>
          <w:tcPr>
            <w:tcW w:w="9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jc w:val="center"/>
              <w:rPr>
                <w:rFonts w:ascii="黑体" w:hAnsi="宋体" w:eastAsia="黑体" w:cs="黑体"/>
                <w:color w:val="000000"/>
                <w:sz w:val="24"/>
              </w:rPr>
            </w:pPr>
            <w:r>
              <w:rPr>
                <w:rFonts w:hint="eastAsia" w:ascii="黑体" w:hAnsi="黑体" w:eastAsia="黑体" w:cs="宋体"/>
                <w:kern w:val="0"/>
                <w:sz w:val="28"/>
                <w:szCs w:val="28"/>
              </w:rPr>
              <w:t>财政部门业务股室审核意见</w:t>
            </w:r>
          </w:p>
        </w:tc>
        <w:tc>
          <w:tcPr>
            <w:tcW w:w="3694"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widowControl/>
              <w:adjustRightInd w:val="0"/>
              <w:snapToGrid w:val="0"/>
              <w:jc w:val="center"/>
              <w:rPr>
                <w:rFonts w:ascii="仿宋_GB2312" w:hAnsi="宋体" w:eastAsia="仿宋_GB2312" w:cs="宋体"/>
                <w:kern w:val="0"/>
                <w:sz w:val="28"/>
                <w:szCs w:val="28"/>
              </w:rPr>
            </w:pPr>
          </w:p>
          <w:p>
            <w:pPr>
              <w:widowControl/>
              <w:adjustRightInd w:val="0"/>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adjustRightInd w:val="0"/>
              <w:snapToGrid w:val="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p>
            <w:pPr>
              <w:widowControl/>
              <w:adjustRightInd w:val="0"/>
              <w:snapToGrid w:val="0"/>
              <w:jc w:val="center"/>
              <w:rPr>
                <w:rFonts w:ascii="仿宋_GB2312" w:hAnsi="宋体" w:eastAsia="仿宋_GB2312" w:cs="仿宋_GB2312"/>
                <w:color w:val="000000"/>
                <w:sz w:val="24"/>
              </w:rPr>
            </w:pPr>
          </w:p>
        </w:tc>
        <w:tc>
          <w:tcPr>
            <w:tcW w:w="19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val="0"/>
              <w:snapToGrid w:val="0"/>
              <w:jc w:val="center"/>
              <w:rPr>
                <w:rFonts w:ascii="黑体" w:hAnsi="黑体" w:eastAsia="黑体" w:cs="宋体"/>
                <w:kern w:val="0"/>
                <w:sz w:val="28"/>
                <w:szCs w:val="28"/>
              </w:rPr>
            </w:pPr>
            <w:r>
              <w:rPr>
                <w:rFonts w:hint="eastAsia" w:ascii="黑体" w:hAnsi="黑体" w:eastAsia="黑体" w:cs="宋体"/>
                <w:kern w:val="0"/>
                <w:sz w:val="28"/>
                <w:szCs w:val="28"/>
              </w:rPr>
              <w:t>财政部门</w:t>
            </w:r>
          </w:p>
          <w:p>
            <w:pPr>
              <w:widowControl/>
              <w:adjustRightInd w:val="0"/>
              <w:snapToGrid w:val="0"/>
              <w:jc w:val="center"/>
              <w:rPr>
                <w:rFonts w:ascii="黑体" w:hAnsi="黑体" w:eastAsia="黑体" w:cs="宋体"/>
                <w:kern w:val="0"/>
                <w:sz w:val="28"/>
                <w:szCs w:val="28"/>
              </w:rPr>
            </w:pPr>
            <w:r>
              <w:rPr>
                <w:rFonts w:hint="eastAsia" w:ascii="黑体" w:hAnsi="黑体" w:eastAsia="黑体" w:cs="宋体"/>
                <w:kern w:val="0"/>
                <w:sz w:val="28"/>
                <w:szCs w:val="28"/>
              </w:rPr>
              <w:t>监督绩效股</w:t>
            </w:r>
          </w:p>
          <w:p>
            <w:pPr>
              <w:widowControl/>
              <w:adjustRightInd w:val="0"/>
              <w:snapToGrid w:val="0"/>
              <w:jc w:val="center"/>
              <w:rPr>
                <w:rFonts w:ascii="仿宋_GB2312" w:hAnsi="宋体" w:eastAsia="仿宋_GB2312" w:cs="仿宋_GB2312"/>
                <w:color w:val="000000"/>
                <w:kern w:val="0"/>
                <w:sz w:val="24"/>
              </w:rPr>
            </w:pPr>
            <w:r>
              <w:rPr>
                <w:rFonts w:hint="eastAsia" w:ascii="黑体" w:hAnsi="黑体" w:eastAsia="黑体" w:cs="宋体"/>
                <w:kern w:val="0"/>
                <w:sz w:val="28"/>
                <w:szCs w:val="28"/>
              </w:rPr>
              <w:t>审核意见</w:t>
            </w:r>
          </w:p>
        </w:tc>
        <w:tc>
          <w:tcPr>
            <w:tcW w:w="30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仿宋_GB2312" w:hAnsi="宋体" w:eastAsia="仿宋_GB2312" w:cs="宋体"/>
                <w:kern w:val="0"/>
                <w:sz w:val="28"/>
                <w:szCs w:val="28"/>
              </w:rPr>
            </w:pPr>
          </w:p>
          <w:p>
            <w:pPr>
              <w:adjustRightInd w:val="0"/>
              <w:snapToGrid w:val="0"/>
              <w:jc w:val="center"/>
              <w:rPr>
                <w:rFonts w:ascii="仿宋_GB2312" w:hAnsi="宋体" w:eastAsia="仿宋_GB2312" w:cs="宋体"/>
                <w:kern w:val="0"/>
                <w:sz w:val="28"/>
                <w:szCs w:val="28"/>
              </w:rPr>
            </w:pPr>
          </w:p>
          <w:p>
            <w:pPr>
              <w:adjustRightInd w:val="0"/>
              <w:snapToGrid w:val="0"/>
              <w:jc w:val="center"/>
              <w:rPr>
                <w:rFonts w:ascii="仿宋_GB2312" w:hAnsi="宋体" w:eastAsia="仿宋_GB2312" w:cs="仿宋_GB2312"/>
                <w:color w:val="000000"/>
                <w:kern w:val="0"/>
                <w:sz w:val="24"/>
              </w:rPr>
            </w:pPr>
            <w:r>
              <w:rPr>
                <w:rFonts w:hint="eastAsia" w:ascii="仿宋_GB2312" w:hAnsi="宋体" w:eastAsia="仿宋_GB2312" w:cs="宋体"/>
                <w:kern w:val="0"/>
                <w:sz w:val="28"/>
                <w:szCs w:val="28"/>
              </w:rPr>
              <w:t>（盖章）</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C168B"/>
    <w:rsid w:val="001167C2"/>
    <w:rsid w:val="001D5CEF"/>
    <w:rsid w:val="00233377"/>
    <w:rsid w:val="002D45D3"/>
    <w:rsid w:val="003938B4"/>
    <w:rsid w:val="004375C4"/>
    <w:rsid w:val="00451B7F"/>
    <w:rsid w:val="00510908"/>
    <w:rsid w:val="006A0CA6"/>
    <w:rsid w:val="006B35E6"/>
    <w:rsid w:val="00755B5D"/>
    <w:rsid w:val="0077010F"/>
    <w:rsid w:val="00931BD5"/>
    <w:rsid w:val="00A274D1"/>
    <w:rsid w:val="00A45255"/>
    <w:rsid w:val="00BF0A6D"/>
    <w:rsid w:val="00D352FE"/>
    <w:rsid w:val="00DA3B40"/>
    <w:rsid w:val="00F106C8"/>
    <w:rsid w:val="00F668DA"/>
    <w:rsid w:val="1D8F358B"/>
    <w:rsid w:val="2EB130F8"/>
    <w:rsid w:val="394D218D"/>
    <w:rsid w:val="5A693565"/>
    <w:rsid w:val="5FCC168B"/>
    <w:rsid w:val="694D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D4B21D-DE6E-4569-A6CC-929A8DF01023}">
  <ds:schemaRefs/>
</ds:datastoreItem>
</file>

<file path=docProps/app.xml><?xml version="1.0" encoding="utf-8"?>
<Properties xmlns="http://schemas.openxmlformats.org/officeDocument/2006/extended-properties" xmlns:vt="http://schemas.openxmlformats.org/officeDocument/2006/docPropsVTypes">
  <Template>Normal</Template>
  <Pages>3</Pages>
  <Words>1353</Words>
  <Characters>1438</Characters>
  <Lines>12</Lines>
  <Paragraphs>3</Paragraphs>
  <TotalTime>153</TotalTime>
  <ScaleCrop>false</ScaleCrop>
  <LinksUpToDate>false</LinksUpToDate>
  <CharactersWithSpaces>1459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2020-07-31T07:38:00Z</dcterms:created>
  <dc:creator>风声水起</dc:creator>
  <cp:lastModifiedBy>Lenovo</cp:lastModifiedBy>
  <dcterms:modified xsi:type="dcterms:W3CDTF">2022-05-07T00:47:37Z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08C05D57C0504521B2F3AA795EE8B163</vt:lpwstr>
  </property>
</Properties>
</file>