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 w:cs="Times New Roman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4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4"/>
        </w:rPr>
        <w:t>单位负责人：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钟焰</w:t>
      </w:r>
    </w:p>
    <w:tbl>
      <w:tblPr>
        <w:tblStyle w:val="4"/>
        <w:tblW w:w="538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0"/>
        <w:gridCol w:w="542"/>
        <w:gridCol w:w="841"/>
        <w:gridCol w:w="1381"/>
        <w:gridCol w:w="1680"/>
        <w:gridCol w:w="833"/>
        <w:gridCol w:w="1087"/>
        <w:gridCol w:w="476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南岳区发展和改革局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5681151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制数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555555"/>
                <w:spacing w:val="0"/>
                <w:sz w:val="21"/>
                <w:szCs w:val="21"/>
                <w:lang w:val="en-US" w:eastAsia="zh-CN"/>
              </w:rPr>
              <w:t>1、拟定全区经济社会发展规划；2、积极争资争项，推动重大建设项目实施；3、监管调控市场，稳定物价；4、做好</w:t>
            </w:r>
            <w:r>
              <w:rPr>
                <w:rFonts w:hint="eastAsia" w:ascii="宋体" w:hAnsi="宋体" w:cs="宋体"/>
                <w:i w:val="0"/>
                <w:caps w:val="0"/>
                <w:color w:val="555555"/>
                <w:spacing w:val="0"/>
                <w:sz w:val="21"/>
                <w:szCs w:val="21"/>
                <w:lang w:eastAsia="zh-CN"/>
              </w:rPr>
              <w:t>粮食和物资储备等工作。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5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634.65</w:t>
            </w:r>
          </w:p>
        </w:tc>
        <w:tc>
          <w:tcPr>
            <w:tcW w:w="7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634.65</w:t>
            </w:r>
          </w:p>
        </w:tc>
        <w:tc>
          <w:tcPr>
            <w:tcW w:w="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5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0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634.65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334.4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300.25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37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4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5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承办区人民政府交办的其他事项、拟定全区经济社会发展战略、加强和改善宏观调控、推进经济体制改革、引导和监管固定资产投资、推进产业结构战略性调整和升级、促进区域协调发展、优化经济社会协调发展等工作，确保全区地区生产总值稳步增长，监管项目完成合规性。争取年内3至4个重点项目落地、建成和见成效，认真研究编制我区“十四五”经济和社会发展规划，提前谋划一批十四五期间重大项目，推动1至2个重大课题调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3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2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目标1</w:t>
            </w: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编制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南岳区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“十四五”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国民经济社会发展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规划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全区重点项目落地、建成数量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3至4个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重大课题调研个数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1至2个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缓解停车难问题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规范市场价格秩序，对学校收费进行检查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≤4次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在线审批监管平台网上办理审批事项录入率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严格招投标管理，检查移交招投标违法违规问题数量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≤3起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项目年度计划投资额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≥20亿元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49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全区信用信息管理及应用服务项目体系建设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促进宏观经济指标、旅游经济发展、重点项目推进、财政金融运行和民生保障等任务达标率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　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争取不增加政府隐性债务，采用用政府特许经营模式或政府与社会资本合作模式，解决“停车难”问题。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审批、核准、备案项目合规率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不断优化、监督营商环境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项目计划完成及时率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经济效益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确保全区地区生产总值总增长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率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≥8.5%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为各类市场主体投资兴业营造稳定、公平、透明、可预期的良好环境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91"/>
              </w:tabs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落实国家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减税降费各项政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策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91"/>
              </w:tabs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减税降费成效最明显、营商环境最优的新型旅游景区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建设经济总体环境质量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=提高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保持经济又好又快发展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=提高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49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社会公众满意度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≥98%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7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7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财政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6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27F8"/>
    <w:rsid w:val="012C7058"/>
    <w:rsid w:val="02401EC3"/>
    <w:rsid w:val="062D746F"/>
    <w:rsid w:val="07A1395C"/>
    <w:rsid w:val="1A095154"/>
    <w:rsid w:val="1FC914F6"/>
    <w:rsid w:val="281E10E6"/>
    <w:rsid w:val="2D32519B"/>
    <w:rsid w:val="40570BE9"/>
    <w:rsid w:val="448B614A"/>
    <w:rsid w:val="462D0842"/>
    <w:rsid w:val="466873C2"/>
    <w:rsid w:val="56AD0C13"/>
    <w:rsid w:val="58A94644"/>
    <w:rsid w:val="5C155BD3"/>
    <w:rsid w:val="5C3447C7"/>
    <w:rsid w:val="5E032716"/>
    <w:rsid w:val="60916B74"/>
    <w:rsid w:val="62FA3BE3"/>
    <w:rsid w:val="648569C6"/>
    <w:rsid w:val="6B1C4CFF"/>
    <w:rsid w:val="6BFD1B86"/>
    <w:rsid w:val="700E7B8B"/>
    <w:rsid w:val="720D0D57"/>
    <w:rsid w:val="7B296536"/>
    <w:rsid w:val="7D5B29ED"/>
    <w:rsid w:val="7EA8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  <w:rPr>
      <w:rFonts w:ascii="微软雅黑" w:hAnsi="微软雅黑" w:eastAsia="微软雅黑" w:cs="微软雅黑"/>
      <w:color w:val="0069AE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text"/>
    <w:basedOn w:val="5"/>
    <w:qFormat/>
    <w:uiPriority w:val="0"/>
    <w:rPr>
      <w:color w:val="666666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after"/>
    <w:basedOn w:val="5"/>
    <w:qFormat/>
    <w:uiPriority w:val="0"/>
    <w:rPr>
      <w:shd w:val="clear" w:fill="FFFFFF"/>
    </w:rPr>
  </w:style>
  <w:style w:type="character" w:customStyle="1" w:styleId="12">
    <w:name w:val="las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2021-04-07T00:34:56Z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F7EDFA8366FB4BA29B0365ADC0E72E21</vt:lpwstr>
  </property>
</Properties>
</file>