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南岳区发展和改革局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单位负责人：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钟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焰</w:t>
      </w:r>
    </w:p>
    <w:tbl>
      <w:tblPr>
        <w:tblStyle w:val="2"/>
        <w:tblW w:w="91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32"/>
        <w:gridCol w:w="1524"/>
        <w:gridCol w:w="222"/>
        <w:gridCol w:w="357"/>
        <w:gridCol w:w="934"/>
        <w:gridCol w:w="1333"/>
        <w:gridCol w:w="929"/>
        <w:gridCol w:w="427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专项基本情况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粮食和物资储备经费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新增项目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延续项目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南岳区财政局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2021年1月至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年12月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玲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5681151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贯彻执行有关粮食宏观调控和物资储备的发展战略、政策研究提出全区粮食宏观调控、粮食流通、物资储备的中长期规划。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《南岳区发展和改革局职能配置、内设机构和人员编制规定》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岳办发〔2019〕22号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专项资金情况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年初预算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粮食和物资储备经费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，按工作的进展与实施情况拨付经费。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方正仿宋简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抓好粮食收储和物资储备管理，着力构建现代粮食流通和物资储备体系，全面提升粮食安全和重要物资储备安全保障能力和水平。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做好本年度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全区粮食宏观调控、粮食流通、物资储备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工作，储备物资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2批次以上。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储备物资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次数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储备物资覆盖面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事项完成及时率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不超出预算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30万元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leftChars="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维护经济运行秩序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防范经济风险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维护社会运行秩序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和谐发展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可持续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影响指标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经济社会平稳运行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满意度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社会居民满意度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股室审核意见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财政部门监督绩效股审核意见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73FDC"/>
    <w:rsid w:val="1A2729D3"/>
    <w:rsid w:val="1BE35F91"/>
    <w:rsid w:val="1C05276E"/>
    <w:rsid w:val="25402589"/>
    <w:rsid w:val="256702DE"/>
    <w:rsid w:val="256E07D9"/>
    <w:rsid w:val="28E60F69"/>
    <w:rsid w:val="39820DDC"/>
    <w:rsid w:val="41B85D89"/>
    <w:rsid w:val="46A37A8C"/>
    <w:rsid w:val="4C260F1A"/>
    <w:rsid w:val="53150677"/>
    <w:rsid w:val="5D551254"/>
    <w:rsid w:val="5D6C3ED3"/>
    <w:rsid w:val="65F128EE"/>
    <w:rsid w:val="6EE80C83"/>
    <w:rsid w:val="7C8F6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</dc:creator>
  <cp:lastModifiedBy>Administrator</cp:lastModifiedBy>
  <dcterms:modified xsi:type="dcterms:W3CDTF">2021-04-07T01:03:00Z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283268116_btnclosed</vt:lpwstr>
  </property>
  <property fmtid="{D5CDD505-2E9C-101B-9397-08002B2CF9AE}" pid="4" name="ICV">
    <vt:lpwstr>2D5506548D3548789D31A3591DE44B3B</vt:lpwstr>
  </property>
</Properties>
</file>