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仿宋_GB2312"/>
          <w:bCs/>
          <w:kern w:val="0"/>
          <w:sz w:val="44"/>
          <w:szCs w:val="44"/>
        </w:rPr>
        <w:t>部门整体支出绩效目标申报表</w:t>
      </w:r>
      <w:r>
        <w:rPr>
          <w:rFonts w:hint="eastAsia" w:ascii="方正小标宋简体" w:hAnsi="仿宋" w:eastAsia="方正小标宋简体" w:cs="仿宋_GB2312"/>
          <w:b/>
          <w:bCs/>
          <w:kern w:val="0"/>
          <w:sz w:val="44"/>
          <w:szCs w:val="44"/>
        </w:rPr>
        <w:br w:type="textWrapping"/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（ 2019年度）</w:t>
      </w:r>
    </w:p>
    <w:p>
      <w:pPr>
        <w:spacing w:line="280" w:lineRule="exact"/>
        <w:ind w:left="-420" w:leftChars="-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填报单位（盖章）：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ab/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           单位负责人（签名）：</w:t>
      </w:r>
    </w:p>
    <w:tbl>
      <w:tblPr>
        <w:tblStyle w:val="2"/>
        <w:tblpPr w:leftFromText="180" w:rightFromText="180" w:vertAnchor="text" w:horzAnchor="page" w:tblpXSpec="center" w:tblpY="3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18"/>
        <w:gridCol w:w="3835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南岳区档案馆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年度预算申请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资金总额：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39.94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按收入性质分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其中：公共财政拨款：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39.34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</w:t>
            </w:r>
          </w:p>
          <w:p>
            <w:pPr>
              <w:widowControl/>
              <w:spacing w:line="280" w:lineRule="exact"/>
              <w:ind w:firstLine="840" w:firstLineChars="300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政府性基金拨款：0万元</w:t>
            </w:r>
          </w:p>
          <w:p>
            <w:pPr>
              <w:widowControl/>
              <w:spacing w:line="280" w:lineRule="exact"/>
              <w:ind w:firstLine="840" w:firstLineChars="300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纳入专户管理的非税收入拨款：0万元</w:t>
            </w:r>
          </w:p>
          <w:p>
            <w:pPr>
              <w:spacing w:line="280" w:lineRule="exact"/>
              <w:ind w:firstLine="840" w:firstLineChars="300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其他资金：0万元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其中：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基本支出：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30.99万元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项目支出: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 xml:space="preserve">  8.35万元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8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部门职能职责概述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（一）贯彻落实档案工作法律法规、方针政策和技术标准，协助拟定档案工作中长期规划和年度计划、并组织实施。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（二）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馆藏档案的科学分类和保管，建立全宗卷，记载立档单位和全宗历史演变情况。负责区档案馆馆藏档案的鉴定开放，编制检索工具，提供档案信息查阅利用。负责馆藏档案安全工作，维护档案完整，保守党和国家机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接收按规定应移交进馆的各种门类和载体的档案资料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负责征集散存在社会上的反映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全区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各个历史时期、具有重要价值和历史研究价值的档案资料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以及著名人物在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南岳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活动中形成的档案资料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负责重要会议、重要活动、重大事件档案资料的收集，并对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进行鉴定、整理、归档。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）围绕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政府工作的需要，开展档案史料的研究和编纂工作，利用馆藏档案资料举办展览，编辑档案文件汇集和其他有利用价值的参考资料，经批准公布档案文件和史料。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负责研究、推广、应用现代化档案管理技术。负责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推进馆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数字化建设，开发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利用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档案信息资源。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（六）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档案馆干部队伍建设规划，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负责全区档案管理人员教育和培训工作。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完成区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交办的其他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任务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整体绩效目标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人的正常办公、生活秩序；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2、严格落实收入目标、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积极开展档案资源建设、档案利用服务建设、档案基础设施建设、档案信息化建设、档案抢救等工作，完成综合档案馆前期工作，库房现存档案信息化处理，重点项目工程档案、社区档案等行业档案业务指导，等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着力突出保障重点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、着力压缩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一般性支出。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部门整体支出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年度绩效指标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宋体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指标1：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保障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档案局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在职人员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人的正常办公、生活秩序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指标2：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在201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年度完成各项资金支出进度要求，保障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档案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局各项工作顺利开展、工资薪金按时发放。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指标3：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严格落实收入目标、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积极开展档案资源建设、档案利用服务建设、档案基础设施建设、档案信息化建设、档案抢救等工作，完成综合档案馆前期工作，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指标4：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基本经费总成本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控制在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30.99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万元内其中：在职人员经费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工资福利支出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26.52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万元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，公用支出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4.47万元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。全年计划项目总成本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8.35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万元，其中：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党支部活动经费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0.35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万元；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全区档案管理工作经费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4万元，档案抢救保护经费4万元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。严格执行行政事业单位财务管理制度及相关政策精神，通过政府采购等多种方式，合理安排资金投向。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指标1：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通过项目的实施，提高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档案各项管理服务工作，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推进促进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档案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经济有序发展。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指标2：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通过项目的实施，力争使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南岳区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相关部门和人员对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档案局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项目实施的满意度达到较好水平，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财政部门审核意见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预算管理股室审核意见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审核部门（签章）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财政绩效管理部门审核意见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审核部门（签章）         年     月     日</w:t>
            </w:r>
          </w:p>
        </w:tc>
      </w:tr>
    </w:tbl>
    <w:p>
      <w:pPr>
        <w:tabs>
          <w:tab w:val="left" w:pos="1875"/>
        </w:tabs>
        <w:spacing w:line="280" w:lineRule="exact"/>
        <w:ind w:left="-619" w:leftChars="-295" w:firstLine="618" w:firstLineChars="221"/>
        <w:rPr>
          <w:rFonts w:hint="eastAsia" w:ascii="仿宋" w:hAnsi="仿宋" w:eastAsia="仿宋" w:cs="仿宋_GB2312"/>
          <w:kern w:val="0"/>
          <w:sz w:val="28"/>
          <w:szCs w:val="28"/>
        </w:rPr>
      </w:pPr>
    </w:p>
    <w:p>
      <w:pPr>
        <w:tabs>
          <w:tab w:val="left" w:pos="1875"/>
        </w:tabs>
        <w:spacing w:line="280" w:lineRule="exact"/>
        <w:ind w:left="-619" w:leftChars="-295" w:right="-727" w:rightChars="-346" w:firstLine="618" w:firstLineChars="221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填表人（签名）：</w:t>
      </w:r>
      <w:r>
        <w:rPr>
          <w:rFonts w:hint="eastAsia" w:ascii="仿宋" w:hAnsi="仿宋" w:eastAsia="仿宋" w:cs="仿宋_GB2312"/>
          <w:kern w:val="0"/>
          <w:sz w:val="28"/>
          <w:szCs w:val="28"/>
          <w:lang w:eastAsia="zh-CN"/>
        </w:rPr>
        <w:t>旷海燕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 联系电话：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>15886478042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2019</w:t>
      </w:r>
      <w:r>
        <w:rPr>
          <w:rFonts w:hint="eastAsia" w:ascii="仿宋" w:hAnsi="仿宋" w:eastAsia="仿宋" w:cs="仿宋_GB2312"/>
          <w:kern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>6月13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日 </w:t>
      </w:r>
    </w:p>
    <w:p>
      <w:pPr>
        <w:spacing w:line="280" w:lineRule="exact"/>
        <w:rPr>
          <w:sz w:val="28"/>
          <w:szCs w:val="28"/>
        </w:rPr>
      </w:pPr>
    </w:p>
    <w:sectPr>
      <w:pgSz w:w="11906" w:h="16838"/>
      <w:pgMar w:top="1440" w:right="1797" w:bottom="1440" w:left="11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A53A"/>
    <w:multiLevelType w:val="singleLevel"/>
    <w:tmpl w:val="5A82A5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3"/>
    <w:rsid w:val="000608BE"/>
    <w:rsid w:val="000C336C"/>
    <w:rsid w:val="00132263"/>
    <w:rsid w:val="001405B2"/>
    <w:rsid w:val="00394B73"/>
    <w:rsid w:val="004362F3"/>
    <w:rsid w:val="004E6652"/>
    <w:rsid w:val="005D396F"/>
    <w:rsid w:val="006108DB"/>
    <w:rsid w:val="00773893"/>
    <w:rsid w:val="009F49E9"/>
    <w:rsid w:val="00B7266F"/>
    <w:rsid w:val="00C34D96"/>
    <w:rsid w:val="00CC5C85"/>
    <w:rsid w:val="00D158AC"/>
    <w:rsid w:val="2AC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80CD2-978C-4CD7-9023-3D7822FB3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</Words>
  <Characters>374</Characters>
  <Lines>3</Lines>
  <Paragraphs>1</Paragraphs>
  <TotalTime>9</TotalTime>
  <ScaleCrop>false</ScaleCrop>
  <LinksUpToDate>false</LinksUpToDate>
  <CharactersWithSpaces>438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2019-06-12T08:34:00Z</dcterms:created>
  <dc:creator>Administrator</dc:creator>
  <cp:lastModifiedBy>cy3930</cp:lastModifiedBy>
  <cp:lastPrinted>2019-06-17T07:11:47Z</cp:lastPrinted>
  <dcterms:modified xsi:type="dcterms:W3CDTF">2019-06-17T07:12:10Z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