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eastAsia="方正小标宋_GBK"/>
          <w:sz w:val="36"/>
          <w:szCs w:val="36"/>
        </w:rPr>
      </w:pPr>
      <w:bookmarkStart w:id="0" w:name="YS060101"/>
      <w:bookmarkStart w:id="1" w:name="第七部分部门决算分析报告撰写提纲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景区综合事务中心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年度部门整体支出绩效评价报告</w:t>
      </w:r>
    </w:p>
    <w:p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根据《中共中央 国务院关于全面实施预算绩效管理的意见》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</w:t>
      </w:r>
      <w:r>
        <w:rPr>
          <w:rFonts w:hint="eastAsia" w:eastAsia="仿宋_GB2312"/>
          <w:sz w:val="32"/>
          <w:szCs w:val="32"/>
          <w:lang w:val="en-US" w:eastAsia="zh-CN"/>
        </w:rPr>
        <w:t>南岳区财政局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关于对2021年部门整体支出和项目支出全面开展绩效自评的通知》</w:t>
      </w:r>
      <w:r>
        <w:rPr>
          <w:rFonts w:eastAsia="仿宋_GB2312"/>
          <w:sz w:val="32"/>
          <w:szCs w:val="32"/>
        </w:rPr>
        <w:t>的文件精神，我</w:t>
      </w:r>
      <w:r>
        <w:rPr>
          <w:rFonts w:hint="eastAsia" w:eastAsia="仿宋_GB2312"/>
          <w:sz w:val="32"/>
          <w:szCs w:val="32"/>
          <w:lang w:val="en-US" w:eastAsia="zh-CN"/>
        </w:rPr>
        <w:t>中心</w:t>
      </w:r>
      <w:r>
        <w:rPr>
          <w:rFonts w:eastAsia="仿宋_GB2312"/>
          <w:sz w:val="32"/>
          <w:szCs w:val="32"/>
        </w:rPr>
        <w:t>对部门整体支出进行了绩效评价，现报告如下：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  <w:lang w:eastAsia="zh-CN"/>
        </w:rPr>
        <w:t>一、</w:t>
      </w:r>
      <w:r>
        <w:rPr>
          <w:rFonts w:hint="eastAsia" w:ascii="黑体" w:hAnsi="Times New Roman" w:eastAsia="黑体" w:cs="Times New Roman"/>
          <w:sz w:val="32"/>
          <w:szCs w:val="32"/>
        </w:rPr>
        <w:t>单位基本情况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eastAsia="楷体_GB2312"/>
          <w:b/>
          <w:snapToGrid w:val="0"/>
          <w:kern w:val="0"/>
          <w:sz w:val="32"/>
          <w:szCs w:val="32"/>
        </w:rPr>
        <w:t>（一）部门职能职责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主要负责中心景区（门票四门以内）综治管理、环境卫生服务、基础设施建设与维护、游客服务等工作。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（二）机构设置情况</w:t>
      </w:r>
    </w:p>
    <w:p>
      <w:pPr>
        <w:numPr>
          <w:ilvl w:val="0"/>
          <w:numId w:val="0"/>
        </w:numPr>
        <w:snapToGrid w:val="0"/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2021年年末，我中心有5个</w:t>
      </w:r>
      <w:r>
        <w:rPr>
          <w:rFonts w:eastAsia="仿宋_GB2312"/>
          <w:bCs/>
          <w:kern w:val="0"/>
          <w:sz w:val="32"/>
          <w:szCs w:val="32"/>
        </w:rPr>
        <w:t>内设机构：办公室、基础设施建设股、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一</w:t>
      </w:r>
      <w:r>
        <w:rPr>
          <w:rFonts w:eastAsia="仿宋_GB2312"/>
          <w:bCs/>
          <w:kern w:val="0"/>
          <w:sz w:val="32"/>
          <w:szCs w:val="32"/>
        </w:rPr>
        <w:t>中队、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二</w:t>
      </w:r>
      <w:r>
        <w:rPr>
          <w:rFonts w:eastAsia="仿宋_GB2312"/>
          <w:bCs/>
          <w:kern w:val="0"/>
          <w:sz w:val="32"/>
          <w:szCs w:val="32"/>
        </w:rPr>
        <w:t>中队、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三</w:t>
      </w:r>
      <w:r>
        <w:rPr>
          <w:rFonts w:eastAsia="仿宋_GB2312"/>
          <w:bCs/>
          <w:kern w:val="0"/>
          <w:sz w:val="32"/>
          <w:szCs w:val="32"/>
        </w:rPr>
        <w:t>中队。</w:t>
      </w:r>
    </w:p>
    <w:p>
      <w:pPr>
        <w:widowControl/>
        <w:spacing w:line="60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（三）人员编制情况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Times New Roman" w:eastAsia="黑体" w:cs="Times New Roman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根据编办核定编制人数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39</w:t>
      </w:r>
      <w:r>
        <w:rPr>
          <w:rFonts w:eastAsia="仿宋_GB2312"/>
          <w:bCs/>
          <w:kern w:val="0"/>
          <w:sz w:val="32"/>
          <w:szCs w:val="32"/>
        </w:rPr>
        <w:t>人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（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全额事业编）</w:t>
      </w:r>
      <w:r>
        <w:rPr>
          <w:rFonts w:eastAsia="仿宋_GB2312"/>
          <w:bCs/>
          <w:kern w:val="0"/>
          <w:sz w:val="32"/>
          <w:szCs w:val="32"/>
        </w:rPr>
        <w:t>，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2021年年末</w:t>
      </w:r>
      <w:r>
        <w:rPr>
          <w:rFonts w:eastAsia="仿宋_GB2312"/>
          <w:bCs/>
          <w:kern w:val="0"/>
          <w:sz w:val="32"/>
          <w:szCs w:val="32"/>
        </w:rPr>
        <w:t>实际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在职60人（其中：</w:t>
      </w:r>
      <w:r>
        <w:rPr>
          <w:rFonts w:eastAsia="仿宋_GB2312"/>
          <w:bCs/>
          <w:kern w:val="0"/>
          <w:sz w:val="32"/>
          <w:szCs w:val="32"/>
        </w:rPr>
        <w:t>在编在岗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29</w:t>
      </w:r>
      <w:r>
        <w:rPr>
          <w:rFonts w:eastAsia="仿宋_GB2312"/>
          <w:bCs/>
          <w:kern w:val="0"/>
          <w:sz w:val="32"/>
          <w:szCs w:val="32"/>
        </w:rPr>
        <w:t>人，搬迁安置3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</w:rPr>
        <w:t>人，企业改制安置1人</w:t>
      </w:r>
      <w:r>
        <w:rPr>
          <w:rFonts w:hint="eastAsia" w:eastAsia="仿宋_GB2312"/>
          <w:bCs/>
          <w:kern w:val="0"/>
          <w:sz w:val="32"/>
          <w:szCs w:val="32"/>
          <w:lang w:eastAsia="zh-CN"/>
        </w:rPr>
        <w:t>），</w:t>
      </w:r>
      <w:r>
        <w:rPr>
          <w:rFonts w:eastAsia="仿宋_GB2312"/>
          <w:bCs/>
          <w:kern w:val="0"/>
          <w:sz w:val="32"/>
          <w:szCs w:val="32"/>
        </w:rPr>
        <w:t>退休3</w:t>
      </w:r>
      <w:r>
        <w:rPr>
          <w:rFonts w:hint="eastAsia" w:eastAsia="仿宋_GB2312"/>
          <w:bCs/>
          <w:kern w:val="0"/>
          <w:sz w:val="32"/>
          <w:szCs w:val="32"/>
          <w:lang w:val="en-US" w:eastAsia="zh-CN"/>
        </w:rPr>
        <w:t>3</w:t>
      </w:r>
      <w:r>
        <w:rPr>
          <w:rFonts w:eastAsia="仿宋_GB2312"/>
          <w:bCs/>
          <w:kern w:val="0"/>
          <w:sz w:val="32"/>
          <w:szCs w:val="32"/>
        </w:rPr>
        <w:t>人。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一般公共预算支出情况</w:t>
      </w:r>
    </w:p>
    <w:p>
      <w:pPr>
        <w:widowControl/>
        <w:numPr>
          <w:ilvl w:val="0"/>
          <w:numId w:val="0"/>
        </w:numPr>
        <w:spacing w:line="600" w:lineRule="exact"/>
        <w:ind w:firstLine="643" w:firstLineChars="200"/>
        <w:rPr>
          <w:rFonts w:hint="eastAsia"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（一）基本支出情况</w:t>
      </w:r>
    </w:p>
    <w:p>
      <w:pPr>
        <w:tabs>
          <w:tab w:val="left" w:pos="2296"/>
        </w:tabs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基本支出系保障我</w:t>
      </w:r>
      <w:r>
        <w:rPr>
          <w:rFonts w:hint="eastAsia" w:eastAsia="仿宋_GB2312"/>
          <w:sz w:val="32"/>
          <w:szCs w:val="32"/>
          <w:lang w:val="en-US" w:eastAsia="zh-CN"/>
        </w:rPr>
        <w:t>中心</w:t>
      </w:r>
      <w:r>
        <w:rPr>
          <w:rFonts w:eastAsia="仿宋_GB2312"/>
          <w:sz w:val="32"/>
          <w:szCs w:val="32"/>
        </w:rPr>
        <w:t>正常运转、完成日常工作任务而发生的各项支出，包括用于在职人员基本工资、津贴补贴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val="en-US" w:eastAsia="zh-CN"/>
        </w:rPr>
        <w:t>退休人员奖金</w:t>
      </w:r>
      <w:r>
        <w:rPr>
          <w:rFonts w:eastAsia="仿宋_GB2312"/>
          <w:sz w:val="32"/>
          <w:szCs w:val="32"/>
        </w:rPr>
        <w:t>等人员经费以及办公费、印刷费、水电费、</w:t>
      </w:r>
      <w:r>
        <w:rPr>
          <w:rFonts w:hint="eastAsia" w:eastAsia="仿宋_GB2312"/>
          <w:sz w:val="32"/>
          <w:szCs w:val="32"/>
          <w:lang w:val="en-US" w:eastAsia="zh-CN"/>
        </w:rPr>
        <w:t>工会经费</w:t>
      </w:r>
      <w:r>
        <w:rPr>
          <w:rFonts w:eastAsia="仿宋_GB2312"/>
          <w:sz w:val="32"/>
          <w:szCs w:val="32"/>
        </w:rPr>
        <w:t>等日常公用经费。20</w:t>
      </w:r>
      <w:r>
        <w:rPr>
          <w:rFonts w:hint="eastAsia" w:eastAsia="仿宋_GB2312"/>
          <w:sz w:val="32"/>
          <w:szCs w:val="32"/>
          <w:lang w:val="en-US" w:eastAsia="zh-CN"/>
        </w:rPr>
        <w:t>21</w:t>
      </w:r>
      <w:r>
        <w:rPr>
          <w:rFonts w:eastAsia="仿宋_GB2312"/>
          <w:sz w:val="32"/>
          <w:szCs w:val="32"/>
        </w:rPr>
        <w:t>年基本支出</w:t>
      </w:r>
      <w:r>
        <w:rPr>
          <w:rFonts w:hint="eastAsia" w:eastAsia="仿宋_GB2312"/>
          <w:sz w:val="32"/>
          <w:szCs w:val="32"/>
        </w:rPr>
        <w:t>887</w:t>
      </w:r>
      <w:r>
        <w:rPr>
          <w:rFonts w:hint="eastAsia" w:eastAsia="仿宋_GB2312"/>
          <w:sz w:val="32"/>
          <w:szCs w:val="32"/>
          <w:lang w:val="en-US" w:eastAsia="zh-CN"/>
        </w:rPr>
        <w:t>.</w:t>
      </w:r>
      <w:r>
        <w:rPr>
          <w:rFonts w:hint="eastAsia" w:eastAsia="仿宋_GB2312"/>
          <w:sz w:val="32"/>
          <w:szCs w:val="32"/>
        </w:rPr>
        <w:t>49</w:t>
      </w:r>
      <w:r>
        <w:rPr>
          <w:rFonts w:eastAsia="仿宋_GB2312"/>
          <w:sz w:val="32"/>
          <w:szCs w:val="32"/>
        </w:rPr>
        <w:t>万元，较上年</w:t>
      </w:r>
      <w:r>
        <w:rPr>
          <w:rFonts w:hint="eastAsia" w:eastAsia="仿宋_GB2312"/>
          <w:sz w:val="32"/>
          <w:szCs w:val="32"/>
          <w:lang w:eastAsia="zh-CN"/>
        </w:rPr>
        <w:t>减少</w:t>
      </w:r>
      <w:r>
        <w:rPr>
          <w:rFonts w:hint="eastAsia" w:eastAsia="仿宋_GB2312"/>
          <w:sz w:val="32"/>
          <w:szCs w:val="32"/>
          <w:lang w:val="en-US" w:eastAsia="zh-CN"/>
        </w:rPr>
        <w:t>29.24</w:t>
      </w:r>
      <w:r>
        <w:rPr>
          <w:rFonts w:eastAsia="仿宋_GB2312"/>
          <w:sz w:val="32"/>
          <w:szCs w:val="32"/>
        </w:rPr>
        <w:t>万元。</w:t>
      </w:r>
      <w:r>
        <w:rPr>
          <w:rFonts w:eastAsia="仿宋_GB2312"/>
          <w:color w:val="000000"/>
          <w:sz w:val="32"/>
          <w:szCs w:val="32"/>
        </w:rPr>
        <w:t>基本支出中人员经费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816.25</w:t>
      </w:r>
      <w:r>
        <w:rPr>
          <w:rFonts w:eastAsia="仿宋_GB2312"/>
          <w:color w:val="000000"/>
          <w:sz w:val="32"/>
          <w:szCs w:val="32"/>
        </w:rPr>
        <w:t>万元，占基本支出的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91.97</w:t>
      </w:r>
      <w:r>
        <w:rPr>
          <w:rFonts w:eastAsia="仿宋_GB2312"/>
          <w:color w:val="000000"/>
          <w:sz w:val="32"/>
          <w:szCs w:val="32"/>
        </w:rPr>
        <w:t>%，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较上年下降1.62%，主要原因是人员调整：2020年年初有67人，年中辞职2人，开除2人，调出1人，退休1人，2020年年末实际在职60人，2021年年初61人，年中调出1人，年末实际在职60人，2021年在职人员较2020年要少7人，所以人员经费总体减少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；</w:t>
      </w:r>
      <w:r>
        <w:rPr>
          <w:rFonts w:eastAsia="仿宋_GB2312"/>
          <w:color w:val="000000"/>
          <w:sz w:val="32"/>
          <w:szCs w:val="32"/>
        </w:rPr>
        <w:t>日常公用经费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71.24</w:t>
      </w:r>
      <w:r>
        <w:rPr>
          <w:rFonts w:eastAsia="仿宋_GB2312"/>
          <w:color w:val="000000"/>
          <w:sz w:val="32"/>
          <w:szCs w:val="32"/>
        </w:rPr>
        <w:t>万元，占基本支出的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8.03</w:t>
      </w:r>
      <w:r>
        <w:rPr>
          <w:rFonts w:eastAsia="仿宋_GB2312"/>
          <w:color w:val="000000"/>
          <w:sz w:val="32"/>
          <w:szCs w:val="32"/>
        </w:rPr>
        <w:t>%，</w:t>
      </w:r>
      <w:r>
        <w:rPr>
          <w:rFonts w:hint="eastAsia" w:eastAsia="仿宋_GB2312"/>
          <w:color w:val="000000"/>
          <w:sz w:val="32"/>
          <w:szCs w:val="32"/>
          <w:lang w:eastAsia="zh-CN"/>
        </w:rPr>
        <w:t>与上年基本持平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。</w:t>
      </w:r>
    </w:p>
    <w:p>
      <w:pPr>
        <w:widowControl/>
        <w:spacing w:line="600" w:lineRule="exact"/>
        <w:ind w:firstLine="643" w:firstLineChars="200"/>
        <w:rPr>
          <w:rFonts w:ascii="楷体_GB2312" w:hAnsi="Times New Roman" w:eastAsia="楷体_GB2312" w:cs="Times New Roman"/>
          <w:b/>
          <w:sz w:val="32"/>
          <w:szCs w:val="32"/>
        </w:rPr>
      </w:pPr>
      <w:r>
        <w:rPr>
          <w:rFonts w:hint="eastAsia" w:ascii="楷体_GB2312" w:hAnsi="Times New Roman" w:eastAsia="楷体_GB2312" w:cs="Times New Roman"/>
          <w:b/>
          <w:sz w:val="32"/>
          <w:szCs w:val="32"/>
        </w:rPr>
        <w:t>（二）</w:t>
      </w:r>
      <w:r>
        <w:rPr>
          <w:rFonts w:ascii="楷体_GB2312" w:hAnsi="Times New Roman" w:eastAsia="楷体_GB2312" w:cs="Times New Roman"/>
          <w:b/>
          <w:sz w:val="32"/>
          <w:szCs w:val="32"/>
        </w:rPr>
        <w:t>项目支出情况</w:t>
      </w:r>
    </w:p>
    <w:p>
      <w:pPr>
        <w:tabs>
          <w:tab w:val="left" w:pos="2296"/>
        </w:tabs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项目支出系我中心为完成中心景区基础设施日常维修维护、环境卫生优化监管、中心景区（门票四门以内）综治管理、游客服务等方面工作而发生的支出。2021年项目支出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1537.88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万元，比上年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增加239.1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万元，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增加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的主要原因是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一般公共预算支出以前年度未完工结算的景区基础设施建设项目，在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2021年</w:t>
      </w: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完工结算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。</w:t>
      </w:r>
      <w:bookmarkStart w:id="2" w:name="_GoBack"/>
      <w:bookmarkEnd w:id="2"/>
    </w:p>
    <w:p>
      <w:pPr>
        <w:widowControl/>
        <w:numPr>
          <w:ilvl w:val="0"/>
          <w:numId w:val="0"/>
        </w:numPr>
        <w:spacing w:line="600" w:lineRule="exact"/>
        <w:ind w:leftChars="0"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三、</w:t>
      </w:r>
      <w:r>
        <w:rPr>
          <w:rFonts w:ascii="Times New Roman" w:hAnsi="Times New Roman" w:eastAsia="黑体" w:cs="Times New Roman"/>
          <w:sz w:val="32"/>
          <w:szCs w:val="32"/>
        </w:rPr>
        <w:t>部门整体支出绩效情况</w:t>
      </w:r>
    </w:p>
    <w:p>
      <w:pPr>
        <w:numPr>
          <w:ilvl w:val="0"/>
          <w:numId w:val="0"/>
        </w:numPr>
        <w:snapToGrid w:val="0"/>
        <w:spacing w:line="520" w:lineRule="exact"/>
        <w:ind w:firstLine="640" w:firstLineChars="200"/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2021年，我中心在区委、区政府的正确领导下，坚持以习近平新时代中国特色社会主义思想为指导，紧紧围绕“服务旅游”的目标，坚持“严格管理、综合整治、提升服务”的工作思路，不断强化景区旅游环境综治管理、环境卫生监管、基础设施维护、游客服务等工作，统筹推进疫情防控、安全生产、森林防火工作，完成了区委、区政府下达的目标管理工作任务。</w:t>
      </w:r>
    </w:p>
    <w:p>
      <w:pPr>
        <w:numPr>
          <w:ilvl w:val="0"/>
          <w:numId w:val="0"/>
        </w:numPr>
        <w:snapToGrid w:val="0"/>
        <w:spacing w:line="520" w:lineRule="exact"/>
        <w:ind w:firstLine="643" w:firstLineChars="20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（一）旅游综治跨上新台阶。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严格依法依规完成了新一轮景区摊位租赁经营权竞租工作，统一轿运从业人员服装和服务标准，着力强化旅游环境的日常巡查和综合管理，景区经营秩序进一步规范。全面加大了对各种违法违规行为的综合整治和查处力度，全年共下发建筑工地整改通知书14份，清理建筑垃圾（渣土）6处，查处景区居民乱倒建筑垃圾3起，劝离带香拉客、流动叫卖1450余人次，取缔临时摊点20余处，暂扣违规经营香炮、雨衣、工艺品等物品11000余件，取缔不规范户外广告、门店招牌30处，清除“牛皮癣”100余处。认真做好游客服务工作，全年受理游客投诉事项150余起，游客投诉处理率100%，满意率100%，救援救助游客140余人次，为游客找回失物500余件；在重要节假日及旅游高峰期，提供咨询和免费茶水、常用药品等日常服务，全年免费发放雨衣2万余件，提供茶水300余桶，受到社会的好评。</w:t>
      </w:r>
    </w:p>
    <w:p>
      <w:pPr>
        <w:numPr>
          <w:ilvl w:val="0"/>
          <w:numId w:val="0"/>
        </w:numPr>
        <w:snapToGrid w:val="0"/>
        <w:spacing w:line="520" w:lineRule="exact"/>
        <w:ind w:firstLine="643" w:firstLineChars="20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（二）基础设施建设迈出新步伐。</w:t>
      </w:r>
      <w:r>
        <w:rPr>
          <w:rFonts w:hint="eastAsia" w:ascii="仿宋_GB2312" w:hAnsi="仿宋" w:eastAsia="仿宋_GB2312" w:cs="Times New Roman"/>
          <w:b/>
          <w:bCs/>
          <w:sz w:val="32"/>
          <w:szCs w:val="32"/>
          <w:lang w:val="en-US" w:eastAsia="zh-CN"/>
        </w:rPr>
        <w:t>重点项目稳妥有序。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灵芝山庄提质改造项目已按投资规模不超过5000万元的标准报请衡阳市发改委完成了立项，目前正抓紧进行施工设计和招投标准备工作，可望在今年3月动工建设。</w:t>
      </w:r>
      <w:r>
        <w:rPr>
          <w:rFonts w:hint="eastAsia" w:ascii="仿宋_GB2312" w:hAnsi="仿宋" w:eastAsia="仿宋_GB2312" w:cs="Times New Roman"/>
          <w:b/>
          <w:bCs/>
          <w:sz w:val="32"/>
          <w:szCs w:val="32"/>
          <w:lang w:val="en-US" w:eastAsia="zh-CN"/>
        </w:rPr>
        <w:t>“厕所革命”持续推进。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景区公厕提质项目总投资283.73万元，共分两期进行，其中项目一期紫竹林、龙凤门票所公厕于2021年6月完工并投入使用；项目二期天柱峰游步道、穿岩诗林公厕于2021年11月完工并投入使用。投入24.7万元，完成了康家垅、藏经殿、五岳殿、南天门祖师殿、祝融峰等五处老旧公厕隔板的提质改造。</w:t>
      </w:r>
      <w:r>
        <w:rPr>
          <w:rFonts w:hint="eastAsia" w:ascii="仿宋_GB2312" w:hAnsi="仿宋" w:eastAsia="仿宋_GB2312" w:cs="Times New Roman"/>
          <w:b/>
          <w:bCs/>
          <w:sz w:val="32"/>
          <w:szCs w:val="32"/>
          <w:lang w:val="en-US" w:eastAsia="zh-CN"/>
        </w:rPr>
        <w:t>摊棚摊点改造稳步推进。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投入122.55万元，对中心景区36处旅游服务摊点进行了提质改造，于2021年10月通过验收并投入使用。此外，投入29.4万元，完成了对麻姑仙境、灵芝泉景点的维护维修；投入10.07万元，新建了半山亭场站排队通道；投入4万余元，完成了中心景区4处垃圾分类点的基础工程；投入8万余元，对景区游步道、安全护栏、涵管、休憩点等基础设施进行了日常维护维修，全年共修复景区基础设施毁损200余处，排除了设施安全隐患。</w:t>
      </w:r>
    </w:p>
    <w:p>
      <w:pPr>
        <w:numPr>
          <w:ilvl w:val="0"/>
          <w:numId w:val="0"/>
        </w:numPr>
        <w:snapToGrid w:val="0"/>
        <w:spacing w:line="520" w:lineRule="exact"/>
        <w:ind w:firstLine="643" w:firstLineChars="200"/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（三）环卫管理实现新优化。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年初，顺利完成了第三轮景区环卫服务外包招投标工作，在第二轮的基础上增加了公路、游步道的枯枝落叶清理及景区寺庙、道观的香灰清运工作，外包经费没有增加，节减了财政支出。认真做好景区环卫保洁及农村环境卫生整治工作。强化景区环境卫生日常督查，及时通报督办，全年共查处卫生不达标现象1000余起，下发环卫督查通报12期，扣罚资金4.6万元；出动环卫垃圾压缩车1500余车次，清运景区垃圾4000余吨；巡查发现公厕设施设备毁损问题286处，督促整改256处；更换景区垃圾收集桶480余个，维修环卫设施100余处，维修更换率达到90%以上。</w:t>
      </w:r>
    </w:p>
    <w:p>
      <w:pPr>
        <w:numPr>
          <w:ilvl w:val="0"/>
          <w:numId w:val="0"/>
        </w:numPr>
        <w:snapToGrid w:val="0"/>
        <w:spacing w:line="520" w:lineRule="exact"/>
        <w:ind w:firstLine="643" w:firstLineChars="200"/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（四)安全生产巩固新成效。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稳妥处理重大安全隐患。2021年上半年，存放在祝融山庄多年的</w:t>
      </w:r>
      <w:r>
        <w:rPr>
          <w:rFonts w:hint="default" w:ascii="仿宋_GB2312" w:hAnsi="仿宋" w:eastAsia="仿宋_GB2312" w:cs="Times New Roman"/>
          <w:sz w:val="32"/>
          <w:szCs w:val="32"/>
          <w:lang w:val="en-US" w:eastAsia="zh-CN"/>
        </w:rPr>
        <w:t>40多个液化气罐</w:t>
      </w:r>
      <w:r>
        <w:rPr>
          <w:rFonts w:hint="eastAsia" w:ascii="仿宋_GB2312" w:hAnsi="仿宋" w:eastAsia="仿宋_GB2312" w:cs="Times New Roman"/>
          <w:sz w:val="32"/>
          <w:szCs w:val="32"/>
          <w:lang w:val="en-US" w:eastAsia="zh-CN"/>
        </w:rPr>
        <w:t>全部被专业人员安全转运处置，遗留多年的重大安全隐患得到消除。及时排查化解关键节点的安全风险。重点抓好了森林防火特护期、雨雪冰冻期、重大节假日、黄金周以及旅游香期旺季、重要接待任务等各个关键节点的安全风险排查化解，提前组织人员开展枯枝落叶清理、破冰除雪、安全巡查巡护、禁烟禁火、基础设施维护维修、救援物资保障等各项工作。一年来，共制定《重大节日安全生产工作方案》20余个，发放安全生产、防灾减灾宣传手册1500余份，在景区10多座公厕电视上轮番播放安全宣传片3000多次，覆盖人群超过10万人次；排查安全隐患300余处，清理枯枝落叶80车次，制止景区内违规吸烟3万余起、制止野外生火10起，规范用电、用气、用煤等行为30起，实现了景区全年重大安全生产事故“零发生”的目标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四</w:t>
      </w:r>
      <w:r>
        <w:rPr>
          <w:rFonts w:hint="eastAsia" w:ascii="Times New Roman" w:hAnsi="Times New Roman" w:eastAsia="黑体" w:cs="Times New Roman"/>
          <w:sz w:val="32"/>
          <w:szCs w:val="32"/>
        </w:rPr>
        <w:t>、</w:t>
      </w:r>
      <w:r>
        <w:rPr>
          <w:rFonts w:ascii="Times New Roman" w:hAnsi="Times New Roman" w:eastAsia="黑体" w:cs="Times New Roman"/>
          <w:sz w:val="32"/>
          <w:szCs w:val="32"/>
        </w:rPr>
        <w:t>存在的问题及原因分析</w:t>
      </w:r>
    </w:p>
    <w:p>
      <w:pPr>
        <w:spacing w:line="600" w:lineRule="exact"/>
        <w:ind w:firstLine="643" w:firstLineChars="200"/>
        <w:rPr>
          <w:rFonts w:hint="default" w:ascii="Calibri" w:hAnsi="Calibri" w:eastAsia="楷体_GB2312" w:cs="Times New Roman"/>
          <w:b/>
          <w:sz w:val="32"/>
          <w:szCs w:val="32"/>
          <w:lang w:val="en-US" w:eastAsia="zh-CN"/>
        </w:rPr>
      </w:pPr>
      <w:r>
        <w:rPr>
          <w:rFonts w:hint="eastAsia" w:ascii="Calibri" w:hAnsi="Calibri" w:eastAsia="楷体_GB2312" w:cs="Times New Roman"/>
          <w:b/>
          <w:sz w:val="32"/>
          <w:szCs w:val="32"/>
          <w:lang w:eastAsia="zh-CN"/>
        </w:rPr>
        <w:t>（</w:t>
      </w:r>
      <w:r>
        <w:rPr>
          <w:rFonts w:hint="eastAsia" w:ascii="Calibri" w:hAnsi="Calibri" w:eastAsia="楷体_GB2312" w:cs="Times New Roman"/>
          <w:b/>
          <w:sz w:val="32"/>
          <w:szCs w:val="32"/>
          <w:lang w:val="en-US" w:eastAsia="zh-CN"/>
        </w:rPr>
        <w:t>一）预算执行存在偏差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从预算收支情况看：年初预算与年底决算仍存在偏差，在预算执行过程中，由于各种客观原因存在指标之间调剂使用的现象，预算编制、下达需要更加科学、及时。同时，内部控制制度还待于进一步完善，</w:t>
      </w:r>
      <w:r>
        <w:rPr>
          <w:rFonts w:hint="eastAsia" w:eastAsia="仿宋_GB2312"/>
          <w:sz w:val="32"/>
          <w:szCs w:val="32"/>
          <w:lang w:val="en-US" w:eastAsia="zh-CN"/>
        </w:rPr>
        <w:t>单位</w:t>
      </w:r>
      <w:r>
        <w:rPr>
          <w:rFonts w:hint="eastAsia" w:eastAsia="仿宋_GB2312"/>
          <w:sz w:val="32"/>
          <w:szCs w:val="32"/>
        </w:rPr>
        <w:t>运行成本控制方面还可进一步提高效率。</w:t>
      </w:r>
    </w:p>
    <w:p>
      <w:pPr>
        <w:spacing w:line="600" w:lineRule="exact"/>
        <w:ind w:firstLine="643" w:firstLineChars="200"/>
        <w:rPr>
          <w:rFonts w:hint="eastAsia" w:ascii="Calibri" w:hAnsi="Calibri" w:eastAsia="楷体_GB2312" w:cs="Times New Roman"/>
          <w:b/>
          <w:sz w:val="32"/>
          <w:szCs w:val="32"/>
          <w:lang w:eastAsia="zh-CN"/>
        </w:rPr>
      </w:pPr>
      <w:r>
        <w:rPr>
          <w:rFonts w:hint="eastAsia" w:ascii="Calibri" w:hAnsi="Calibri" w:eastAsia="楷体_GB2312" w:cs="Times New Roman"/>
          <w:b/>
          <w:sz w:val="32"/>
          <w:szCs w:val="32"/>
          <w:lang w:eastAsia="zh-CN"/>
        </w:rPr>
        <w:t>（二）部分项目实施与预算执行存在脱节。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受疫情影响，部分项目启动较晚，实施周期相对较长，导致项目验收晚，预算执行进度偏慢。</w:t>
      </w:r>
      <w:r>
        <w:rPr>
          <w:rFonts w:hint="eastAsia" w:eastAsia="仿宋_GB2312"/>
          <w:sz w:val="32"/>
          <w:szCs w:val="32"/>
          <w:lang w:val="en-US" w:eastAsia="zh-CN"/>
        </w:rPr>
        <w:t>我们将在下年督促项目实施单位早启动、早实施、早验收，对符合条件的项目按照项目进度支付相关款项。</w:t>
      </w:r>
    </w:p>
    <w:p>
      <w:pPr>
        <w:widowControl/>
        <w:numPr>
          <w:ilvl w:val="0"/>
          <w:numId w:val="2"/>
        </w:numPr>
        <w:spacing w:line="60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下一步改进措施</w:t>
      </w:r>
    </w:p>
    <w:p>
      <w:pPr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针对上述存在的问题及我</w:t>
      </w:r>
      <w:r>
        <w:rPr>
          <w:rFonts w:hint="eastAsia" w:eastAsia="仿宋_GB2312"/>
          <w:sz w:val="32"/>
          <w:szCs w:val="32"/>
          <w:lang w:val="en-US" w:eastAsia="zh-CN"/>
        </w:rPr>
        <w:t>中心</w:t>
      </w:r>
      <w:r>
        <w:rPr>
          <w:rFonts w:hint="eastAsia" w:eastAsia="仿宋_GB2312"/>
          <w:sz w:val="32"/>
          <w:szCs w:val="32"/>
        </w:rPr>
        <w:t>整体支出管理工作的需要，</w:t>
      </w:r>
      <w:r>
        <w:rPr>
          <w:rFonts w:eastAsia="仿宋_GB2312"/>
          <w:sz w:val="32"/>
          <w:szCs w:val="32"/>
        </w:rPr>
        <w:t>拟采取以下改进措施：</w:t>
      </w:r>
    </w:p>
    <w:p>
      <w:pPr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强化预算管理，定期开展预算执行分析。</w:t>
      </w:r>
      <w:r>
        <w:rPr>
          <w:rFonts w:hint="eastAsia" w:eastAsia="仿宋_GB2312"/>
          <w:sz w:val="32"/>
          <w:szCs w:val="32"/>
        </w:rPr>
        <w:t>进一步强化单位预算管理意识，严格按照预算编制的相关制度和要求，公用经费根据单位的年度工作重点和项目专项工作规划，本着“勤俭节约、保障运转”的原则进行预算的编制。编制范围尽可能的全面、完整，进一步提高预算编制的科学性、合理性、严谨性和可控性，尽最大可能减少预决算执行差异。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（二）通过定期对项目实施和预算执行情况进行梳理，及时掌握项目进度，督促项目实施单位早启动、早实施、早验收，对符合条件的项目按照项目进度支付相关款项，将预算资金管理贯穿于项目实施全过程中。对未启动项目及时分析原因，根据资金使用情况调整下年预算安排</w:t>
      </w:r>
      <w:bookmarkEnd w:id="0"/>
      <w:bookmarkEnd w:id="1"/>
      <w:r>
        <w:rPr>
          <w:rFonts w:hint="eastAsia" w:eastAsia="仿宋_GB2312"/>
          <w:sz w:val="32"/>
          <w:szCs w:val="32"/>
          <w:lang w:val="en-US" w:eastAsia="zh-CN"/>
        </w:rPr>
        <w:t>。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eastAsia" w:eastAsia="仿宋_GB2312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jc w:val="righ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南岳区景区综合事务中心</w:t>
      </w:r>
    </w:p>
    <w:p>
      <w:pPr>
        <w:widowControl/>
        <w:numPr>
          <w:ilvl w:val="0"/>
          <w:numId w:val="0"/>
        </w:numPr>
        <w:spacing w:line="600" w:lineRule="exact"/>
        <w:ind w:firstLine="640" w:firstLineChars="200"/>
        <w:jc w:val="center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2021年1月19日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PAGE   \* MERGEFORMAT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sz w:val="24"/>
        <w:szCs w:val="24"/>
        <w:lang w:val="zh-CN"/>
      </w:rPr>
      <w:t>2</w:t>
    </w:r>
    <w:r>
      <w:rPr>
        <w:rFonts w:ascii="Arial" w:hAnsi="Arial" w:cs="Arial"/>
        <w:sz w:val="24"/>
        <w:szCs w:val="24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39CCF1"/>
    <w:multiLevelType w:val="singleLevel"/>
    <w:tmpl w:val="F639CCF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92A871F"/>
    <w:multiLevelType w:val="singleLevel"/>
    <w:tmpl w:val="692A871F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D0141"/>
    <w:rsid w:val="00311A5F"/>
    <w:rsid w:val="020C008E"/>
    <w:rsid w:val="020C4532"/>
    <w:rsid w:val="027C7CF9"/>
    <w:rsid w:val="02A46519"/>
    <w:rsid w:val="02B715FC"/>
    <w:rsid w:val="03B66504"/>
    <w:rsid w:val="045B63B1"/>
    <w:rsid w:val="05FE70B5"/>
    <w:rsid w:val="07867556"/>
    <w:rsid w:val="08BA6A96"/>
    <w:rsid w:val="095C5D9F"/>
    <w:rsid w:val="09903C9B"/>
    <w:rsid w:val="0A342878"/>
    <w:rsid w:val="0BD7795F"/>
    <w:rsid w:val="0C831895"/>
    <w:rsid w:val="0CE5069F"/>
    <w:rsid w:val="0F622272"/>
    <w:rsid w:val="0FC91CB4"/>
    <w:rsid w:val="119F0F1F"/>
    <w:rsid w:val="11F50B3F"/>
    <w:rsid w:val="126618CC"/>
    <w:rsid w:val="12CF1390"/>
    <w:rsid w:val="12DA1AE3"/>
    <w:rsid w:val="13C20EF5"/>
    <w:rsid w:val="141F00F5"/>
    <w:rsid w:val="14BC3B96"/>
    <w:rsid w:val="15237771"/>
    <w:rsid w:val="17143AE5"/>
    <w:rsid w:val="17D12624"/>
    <w:rsid w:val="18BD7EDC"/>
    <w:rsid w:val="18DE057F"/>
    <w:rsid w:val="19B65058"/>
    <w:rsid w:val="19E5593D"/>
    <w:rsid w:val="1A7A42D7"/>
    <w:rsid w:val="1A8962C8"/>
    <w:rsid w:val="1D181B85"/>
    <w:rsid w:val="1E3E386E"/>
    <w:rsid w:val="1E592455"/>
    <w:rsid w:val="20887022"/>
    <w:rsid w:val="20A53730"/>
    <w:rsid w:val="20D364EF"/>
    <w:rsid w:val="22A939AB"/>
    <w:rsid w:val="24B16B47"/>
    <w:rsid w:val="253A4D8F"/>
    <w:rsid w:val="25494940"/>
    <w:rsid w:val="25DC5E46"/>
    <w:rsid w:val="28D61099"/>
    <w:rsid w:val="29183639"/>
    <w:rsid w:val="29EA6A1E"/>
    <w:rsid w:val="2AEF03C9"/>
    <w:rsid w:val="2DC6113C"/>
    <w:rsid w:val="2FD44032"/>
    <w:rsid w:val="30B31E99"/>
    <w:rsid w:val="30D51E0F"/>
    <w:rsid w:val="31462F5E"/>
    <w:rsid w:val="31D65E3F"/>
    <w:rsid w:val="31F00719"/>
    <w:rsid w:val="32953B6A"/>
    <w:rsid w:val="33484B1B"/>
    <w:rsid w:val="33BC2E13"/>
    <w:rsid w:val="34943D90"/>
    <w:rsid w:val="39754190"/>
    <w:rsid w:val="39EB31D0"/>
    <w:rsid w:val="3B653D90"/>
    <w:rsid w:val="41601281"/>
    <w:rsid w:val="4162324B"/>
    <w:rsid w:val="41DD0141"/>
    <w:rsid w:val="4230334A"/>
    <w:rsid w:val="43AC4C52"/>
    <w:rsid w:val="451E392D"/>
    <w:rsid w:val="464949DA"/>
    <w:rsid w:val="48315726"/>
    <w:rsid w:val="48401E0D"/>
    <w:rsid w:val="48627FD5"/>
    <w:rsid w:val="493F0316"/>
    <w:rsid w:val="4A75688F"/>
    <w:rsid w:val="4A8835F7"/>
    <w:rsid w:val="4A954692"/>
    <w:rsid w:val="4AE55835"/>
    <w:rsid w:val="4B750C8E"/>
    <w:rsid w:val="4B8D35BB"/>
    <w:rsid w:val="4ED212E5"/>
    <w:rsid w:val="4F38383D"/>
    <w:rsid w:val="50267B3A"/>
    <w:rsid w:val="503C735D"/>
    <w:rsid w:val="506F7733"/>
    <w:rsid w:val="5079410E"/>
    <w:rsid w:val="515352F5"/>
    <w:rsid w:val="51570DC2"/>
    <w:rsid w:val="523522B6"/>
    <w:rsid w:val="5236017C"/>
    <w:rsid w:val="526D37FE"/>
    <w:rsid w:val="52974D1F"/>
    <w:rsid w:val="52EF6909"/>
    <w:rsid w:val="53665B52"/>
    <w:rsid w:val="55863C7D"/>
    <w:rsid w:val="56DF0A43"/>
    <w:rsid w:val="571C57F3"/>
    <w:rsid w:val="591B0458"/>
    <w:rsid w:val="5A1D5B0A"/>
    <w:rsid w:val="5B0647F0"/>
    <w:rsid w:val="5BCD17B1"/>
    <w:rsid w:val="5C0C052C"/>
    <w:rsid w:val="5C186ED1"/>
    <w:rsid w:val="5C5B500F"/>
    <w:rsid w:val="5C961BA3"/>
    <w:rsid w:val="5E070FAB"/>
    <w:rsid w:val="5F013C4C"/>
    <w:rsid w:val="5FA82319"/>
    <w:rsid w:val="601D2D07"/>
    <w:rsid w:val="612E6D30"/>
    <w:rsid w:val="61CA12EB"/>
    <w:rsid w:val="62775FD3"/>
    <w:rsid w:val="633A4F6D"/>
    <w:rsid w:val="644C3BBB"/>
    <w:rsid w:val="646F78AA"/>
    <w:rsid w:val="65433F60"/>
    <w:rsid w:val="65652A5B"/>
    <w:rsid w:val="659A6BA8"/>
    <w:rsid w:val="660B715E"/>
    <w:rsid w:val="663F14FE"/>
    <w:rsid w:val="699833FF"/>
    <w:rsid w:val="69BF6BDD"/>
    <w:rsid w:val="69D63F27"/>
    <w:rsid w:val="6A1C4030"/>
    <w:rsid w:val="6B315A3D"/>
    <w:rsid w:val="6BAF4A30"/>
    <w:rsid w:val="6D192AA9"/>
    <w:rsid w:val="6E970129"/>
    <w:rsid w:val="6F712728"/>
    <w:rsid w:val="6FD20CED"/>
    <w:rsid w:val="72646574"/>
    <w:rsid w:val="72A77C4D"/>
    <w:rsid w:val="733221CE"/>
    <w:rsid w:val="75220020"/>
    <w:rsid w:val="7530273D"/>
    <w:rsid w:val="768E0063"/>
    <w:rsid w:val="773329B9"/>
    <w:rsid w:val="77770AF7"/>
    <w:rsid w:val="77C53695"/>
    <w:rsid w:val="784529A4"/>
    <w:rsid w:val="78BB2C66"/>
    <w:rsid w:val="78E57CE3"/>
    <w:rsid w:val="790A7749"/>
    <w:rsid w:val="7B8437E3"/>
    <w:rsid w:val="7B9F686F"/>
    <w:rsid w:val="7C55517F"/>
    <w:rsid w:val="7CC7263C"/>
    <w:rsid w:val="7D2A660C"/>
    <w:rsid w:val="7D5D253D"/>
    <w:rsid w:val="7DD3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p0"/>
    <w:basedOn w:val="1"/>
    <w:qFormat/>
    <w:uiPriority w:val="0"/>
    <w:pPr>
      <w:widowControl/>
    </w:pPr>
    <w:rPr>
      <w:rFonts w:ascii="Calibri" w:hAnsi="Calibri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2022-01-18T07:23:00Z</dcterms:created>
  <dc:creator>晕晕是我呀 </dc:creator>
  <cp:lastModifiedBy>晕晕是我呀 </cp:lastModifiedBy>
  <dcterms:modified xsi:type="dcterms:W3CDTF">2022-01-20T09:05:35Z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2052-11.1.0.11360</vt:lpwstr>
  </property>
  <property fmtid="{D5CDD505-2E9C-101B-9397-08002B2CF9AE}" pid="3" name="ICV">
    <vt:lpwstr>FC902C75127B44F9B83167519301CB9D</vt:lpwstr>
  </property>
</Properties>
</file>