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44" w:rsidRDefault="00E61344" w:rsidP="00E61344">
      <w:pPr>
        <w:spacing w:after="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南岳区城市管理和综合执法局2021年度</w:t>
      </w:r>
    </w:p>
    <w:p w:rsidR="00E61344" w:rsidRPr="00E61344" w:rsidRDefault="00E61344" w:rsidP="00E6134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部门整体支出绩效评价报告</w:t>
      </w:r>
    </w:p>
    <w:p w:rsidR="00E61344" w:rsidRDefault="00E61344" w:rsidP="00E61344">
      <w:pPr>
        <w:spacing w:line="600" w:lineRule="exact"/>
        <w:ind w:firstLine="645"/>
        <w:rPr>
          <w:rFonts w:eastAsia="仿宋_GB2312"/>
          <w:sz w:val="32"/>
          <w:szCs w:val="32"/>
        </w:rPr>
      </w:pPr>
      <w:r>
        <w:rPr>
          <w:rFonts w:eastAsia="仿宋_GB2312"/>
          <w:sz w:val="32"/>
          <w:szCs w:val="32"/>
        </w:rPr>
        <w:t>根据《中共中央</w:t>
      </w:r>
      <w:r>
        <w:rPr>
          <w:rFonts w:eastAsia="仿宋_GB2312"/>
          <w:sz w:val="32"/>
          <w:szCs w:val="32"/>
        </w:rPr>
        <w:t xml:space="preserve"> </w:t>
      </w:r>
      <w:r>
        <w:rPr>
          <w:rFonts w:eastAsia="仿宋_GB2312"/>
          <w:sz w:val="32"/>
          <w:szCs w:val="32"/>
        </w:rPr>
        <w:t>国务院关于全面实施预算绩效管理的意见》的文件精神，我</w:t>
      </w:r>
      <w:r>
        <w:rPr>
          <w:rFonts w:eastAsia="仿宋_GB2312" w:hint="eastAsia"/>
          <w:sz w:val="32"/>
          <w:szCs w:val="32"/>
        </w:rPr>
        <w:t>局</w:t>
      </w:r>
      <w:r>
        <w:rPr>
          <w:rFonts w:eastAsia="仿宋_GB2312"/>
          <w:sz w:val="32"/>
          <w:szCs w:val="32"/>
        </w:rPr>
        <w:t>对部门整体支出进行了绩效评价，现报告如下：</w:t>
      </w:r>
    </w:p>
    <w:p w:rsidR="00E61344" w:rsidRDefault="00E61344" w:rsidP="00E61344">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一、单位基本情况</w:t>
      </w:r>
    </w:p>
    <w:p w:rsidR="00E61344" w:rsidRDefault="00E61344" w:rsidP="00E61344">
      <w:pPr>
        <w:spacing w:line="600" w:lineRule="exact"/>
        <w:ind w:firstLineChars="196" w:firstLine="630"/>
        <w:rPr>
          <w:rFonts w:eastAsia="楷体_GB2312"/>
          <w:b/>
          <w:snapToGrid w:val="0"/>
          <w:sz w:val="32"/>
          <w:szCs w:val="32"/>
        </w:rPr>
      </w:pPr>
      <w:r>
        <w:rPr>
          <w:rFonts w:eastAsia="楷体_GB2312"/>
          <w:b/>
          <w:snapToGrid w:val="0"/>
          <w:sz w:val="32"/>
          <w:szCs w:val="32"/>
        </w:rPr>
        <w:t>（一）部门职能职责</w:t>
      </w:r>
    </w:p>
    <w:p w:rsidR="005C7A7F" w:rsidRPr="005C7A7F" w:rsidRDefault="005C7A7F" w:rsidP="005C7A7F">
      <w:pPr>
        <w:spacing w:line="600" w:lineRule="exact"/>
        <w:ind w:firstLineChars="196" w:firstLine="627"/>
        <w:rPr>
          <w:rFonts w:eastAsia="仿宋_GB2312"/>
          <w:sz w:val="32"/>
          <w:szCs w:val="32"/>
        </w:rPr>
      </w:pPr>
      <w:r>
        <w:rPr>
          <w:rFonts w:eastAsia="仿宋_GB2312" w:hint="eastAsia"/>
          <w:sz w:val="32"/>
          <w:szCs w:val="32"/>
        </w:rPr>
        <w:t>南岳</w:t>
      </w:r>
      <w:r w:rsidRPr="005C7A7F">
        <w:rPr>
          <w:rFonts w:eastAsia="仿宋_GB2312" w:hint="eastAsia"/>
          <w:sz w:val="32"/>
          <w:szCs w:val="32"/>
        </w:rPr>
        <w:t>区城管执法局贯彻落实党中央关于城市管理和综合执法工作的方针政策和决策部署，全面贯彻落实省委、市委、区委关于城市管理和综合执法工作的部署要求，在履行职责过程中坚持和加强党对城市管理和综合执法工作的集中统一领导。主要职责是：</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一）宣传、贯彻、落实国家、省、市、区有关城市管理的法律、法规、规章、办法，编制全区城市管理和综合执法工作的总体规划、年度计划；拟订全区城市管理和综合执法工作制度，并组织实施；组织开展城市管理和综合执法调查研究。</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二）负责拟订全区市容市貌、环境卫生、户外广告、公共停车场管理的标准和规范，并组织实施和监督检查；负责对乡镇、街道以及区直有关单位城市管理和综合执法工作的指导、协调、监督检查、考核评比工作。</w:t>
      </w:r>
    </w:p>
    <w:p w:rsid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lastRenderedPageBreak/>
        <w:t>（三）承担城市市容监督管理责任。</w:t>
      </w:r>
    </w:p>
    <w:p w:rsid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（四）承担城市环境卫生监督管理责任。</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五）负责数字化城市管理的监督、指挥、调度和协调工作。负责对城区各类城市管理信息收集、分析和管理工作；负责对责任部门、乡镇履行城市管理职责情况提供考核评价依据；负责受理数字化城市管理投诉、举报等有关工作。</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（六）负责城市管理和综合执法宣传教育、业务培训、执法督察、法制审核等工作；负责全区城市管理和综合执法应急处置的指挥调度工作。负责协助跨区域违法违规案件的查处工作。</w:t>
      </w:r>
    </w:p>
    <w:p w:rsidR="005C7A7F" w:rsidRDefault="005C7A7F" w:rsidP="005C7A7F">
      <w:pPr>
        <w:spacing w:line="600" w:lineRule="exact"/>
        <w:ind w:firstLineChars="196" w:firstLine="627"/>
        <w:rPr>
          <w:rFonts w:eastAsia="仿宋_GB2312"/>
          <w:sz w:val="32"/>
          <w:szCs w:val="32"/>
        </w:rPr>
      </w:pPr>
      <w:r>
        <w:rPr>
          <w:rFonts w:eastAsia="仿宋_GB2312" w:hint="eastAsia"/>
          <w:sz w:val="32"/>
          <w:szCs w:val="32"/>
        </w:rPr>
        <w:t>（七）负责对</w:t>
      </w:r>
      <w:r w:rsidRPr="005C7A7F">
        <w:rPr>
          <w:rFonts w:eastAsia="仿宋_GB2312" w:hint="eastAsia"/>
          <w:sz w:val="32"/>
          <w:szCs w:val="32"/>
        </w:rPr>
        <w:t>破坏旅游秩序、损害游客合法权益的行为进行行政处罚</w:t>
      </w:r>
      <w:r>
        <w:rPr>
          <w:rFonts w:eastAsia="仿宋_GB2312" w:hint="eastAsia"/>
          <w:sz w:val="32"/>
          <w:szCs w:val="32"/>
        </w:rPr>
        <w:t>。</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（八）负责对阻挠、妨碍他人正常使用公共泊车位、休憩设施等公共资源，在城市道路或者其他公共场所收取停车费等行为实施行政处罚。</w:t>
      </w:r>
    </w:p>
    <w:p w:rsid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（九）承担在城区开展城市管理相对集中行政处罚权工作的责任。</w:t>
      </w:r>
    </w:p>
    <w:p w:rsid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（十）负责对在风景名胜区内破坏景观、植被、地形地貌行为和开展影响生态和景观的活动进行行政处罚。</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lastRenderedPageBreak/>
        <w:t>（十一）负责本行业、领域的应急管理工作，对本行业、领域的安全生产工作实施监督管理。</w:t>
      </w:r>
    </w:p>
    <w:p w:rsidR="005C7A7F" w:rsidRP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（十二）完成区委、区政府交办的其他任务。</w:t>
      </w:r>
    </w:p>
    <w:p w:rsidR="005C7A7F" w:rsidRDefault="005C7A7F" w:rsidP="005C7A7F">
      <w:pPr>
        <w:spacing w:line="600" w:lineRule="exact"/>
        <w:ind w:firstLineChars="196" w:firstLine="627"/>
        <w:rPr>
          <w:rFonts w:eastAsia="仿宋_GB2312"/>
          <w:sz w:val="32"/>
          <w:szCs w:val="32"/>
        </w:rPr>
      </w:pPr>
      <w:r w:rsidRPr="005C7A7F">
        <w:rPr>
          <w:rFonts w:eastAsia="仿宋_GB2312" w:hint="eastAsia"/>
          <w:sz w:val="32"/>
          <w:szCs w:val="32"/>
        </w:rPr>
        <w:t>（十三）</w:t>
      </w:r>
      <w:r>
        <w:rPr>
          <w:rFonts w:eastAsia="仿宋_GB2312" w:hint="eastAsia"/>
          <w:sz w:val="32"/>
          <w:szCs w:val="32"/>
        </w:rPr>
        <w:t>其他部门的</w:t>
      </w:r>
      <w:r w:rsidRPr="005C7A7F">
        <w:rPr>
          <w:rFonts w:eastAsia="仿宋_GB2312" w:hint="eastAsia"/>
          <w:sz w:val="32"/>
          <w:szCs w:val="32"/>
        </w:rPr>
        <w:t>职责分工</w:t>
      </w:r>
      <w:r>
        <w:rPr>
          <w:rFonts w:eastAsia="仿宋_GB2312" w:hint="eastAsia"/>
          <w:sz w:val="32"/>
          <w:szCs w:val="32"/>
        </w:rPr>
        <w:t>。</w:t>
      </w:r>
    </w:p>
    <w:p w:rsidR="00E61344" w:rsidRDefault="00E61344" w:rsidP="005C7A7F">
      <w:pPr>
        <w:spacing w:line="600" w:lineRule="exact"/>
        <w:ind w:firstLineChars="196" w:firstLine="630"/>
        <w:rPr>
          <w:rFonts w:eastAsia="楷体_GB2312"/>
          <w:b/>
          <w:sz w:val="32"/>
          <w:szCs w:val="32"/>
        </w:rPr>
      </w:pPr>
      <w:r>
        <w:rPr>
          <w:rFonts w:eastAsia="楷体_GB2312"/>
          <w:b/>
          <w:sz w:val="32"/>
          <w:szCs w:val="32"/>
        </w:rPr>
        <w:t>（二）机构设置情况</w:t>
      </w:r>
    </w:p>
    <w:p w:rsidR="00E61344" w:rsidRDefault="00E61344" w:rsidP="00E6134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5C7A7F">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年末</w:t>
      </w:r>
      <w:r>
        <w:rPr>
          <w:rFonts w:ascii="Times New Roman" w:eastAsia="仿宋_GB2312" w:hAnsi="Times New Roman" w:cs="Times New Roman"/>
          <w:sz w:val="32"/>
          <w:szCs w:val="32"/>
        </w:rPr>
        <w:t>，我</w:t>
      </w:r>
      <w:r w:rsidR="005C7A7F">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内设</w:t>
      </w:r>
      <w:r w:rsidR="00232B9E">
        <w:rPr>
          <w:rFonts w:ascii="Times New Roman" w:eastAsia="仿宋_GB2312" w:hAnsi="Times New Roman" w:cs="Times New Roman" w:hint="eastAsia"/>
          <w:sz w:val="32"/>
          <w:szCs w:val="32"/>
        </w:rPr>
        <w:t>股室</w:t>
      </w:r>
      <w:r w:rsidR="00232B9E">
        <w:rPr>
          <w:rFonts w:ascii="Times New Roman" w:eastAsia="仿宋_GB2312" w:hAnsi="Times New Roman" w:cs="Times New Roman" w:hint="eastAsia"/>
          <w:sz w:val="32"/>
          <w:szCs w:val="32"/>
        </w:rPr>
        <w:t>4</w:t>
      </w:r>
      <w:r w:rsidR="00232B9E">
        <w:rPr>
          <w:rFonts w:ascii="Times New Roman" w:eastAsia="仿宋_GB2312" w:hAnsi="Times New Roman" w:cs="Times New Roman"/>
          <w:sz w:val="32"/>
          <w:szCs w:val="32"/>
        </w:rPr>
        <w:t>个，</w:t>
      </w:r>
      <w:r w:rsidR="00232B9E">
        <w:rPr>
          <w:rFonts w:ascii="Times New Roman" w:eastAsia="仿宋_GB2312" w:hAnsi="Times New Roman" w:cs="Times New Roman" w:hint="eastAsia"/>
          <w:sz w:val="32"/>
          <w:szCs w:val="32"/>
        </w:rPr>
        <w:t>所</w:t>
      </w:r>
      <w:r>
        <w:rPr>
          <w:rFonts w:ascii="Times New Roman" w:eastAsia="仿宋_GB2312" w:hAnsi="Times New Roman" w:cs="Times New Roman"/>
          <w:sz w:val="32"/>
          <w:szCs w:val="32"/>
        </w:rPr>
        <w:t>属事业单位</w:t>
      </w:r>
      <w:r w:rsidR="00232B9E">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w:t>
      </w:r>
    </w:p>
    <w:p w:rsidR="00E61344" w:rsidRDefault="00E61344" w:rsidP="00E6134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内设处室分别是</w:t>
      </w:r>
      <w:r>
        <w:rPr>
          <w:rFonts w:ascii="Times New Roman" w:eastAsia="仿宋_GB2312" w:hAnsi="Times New Roman" w:cs="Times New Roman" w:hint="eastAsia"/>
          <w:sz w:val="32"/>
          <w:szCs w:val="32"/>
        </w:rPr>
        <w:t>办公室、</w:t>
      </w:r>
      <w:r w:rsidR="00232B9E">
        <w:rPr>
          <w:rFonts w:ascii="Times New Roman" w:eastAsia="仿宋_GB2312" w:hAnsi="Times New Roman" w:cs="Times New Roman" w:hint="eastAsia"/>
          <w:sz w:val="32"/>
          <w:szCs w:val="32"/>
        </w:rPr>
        <w:t>法规股、综合业务股、市容监察股。</w:t>
      </w:r>
    </w:p>
    <w:p w:rsidR="00E61344" w:rsidRDefault="00E61344" w:rsidP="00E6134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所属事业单位是</w:t>
      </w:r>
      <w:r w:rsidR="00232B9E">
        <w:rPr>
          <w:rFonts w:ascii="Times New Roman" w:eastAsia="仿宋_GB2312" w:hAnsi="Times New Roman" w:cs="Times New Roman" w:hint="eastAsia"/>
          <w:sz w:val="32"/>
          <w:szCs w:val="32"/>
        </w:rPr>
        <w:t>南岳区城乡执法大队</w:t>
      </w:r>
      <w:r>
        <w:rPr>
          <w:rFonts w:ascii="Times New Roman" w:eastAsia="仿宋_GB2312" w:hAnsi="Times New Roman" w:cs="Times New Roman" w:hint="eastAsia"/>
          <w:sz w:val="32"/>
          <w:szCs w:val="32"/>
        </w:rPr>
        <w:t>。</w:t>
      </w:r>
    </w:p>
    <w:p w:rsidR="00E61344" w:rsidRDefault="00E61344" w:rsidP="00E61344">
      <w:pPr>
        <w:spacing w:line="600" w:lineRule="exact"/>
        <w:ind w:firstLineChars="196" w:firstLine="630"/>
        <w:rPr>
          <w:rFonts w:eastAsia="楷体_GB2312"/>
          <w:b/>
          <w:sz w:val="32"/>
          <w:szCs w:val="32"/>
        </w:rPr>
      </w:pPr>
      <w:r>
        <w:rPr>
          <w:rFonts w:eastAsia="楷体_GB2312"/>
          <w:b/>
          <w:sz w:val="32"/>
          <w:szCs w:val="32"/>
        </w:rPr>
        <w:t>（三）人员编制情况</w:t>
      </w:r>
    </w:p>
    <w:p w:rsidR="00E61344" w:rsidRDefault="00E61344" w:rsidP="00E61344">
      <w:pPr>
        <w:ind w:firstLineChars="200" w:firstLine="640"/>
        <w:rPr>
          <w:rFonts w:ascii="黑体" w:eastAsia="黑体" w:hAnsi="Times New Roman" w:cs="Times New Roman"/>
          <w:sz w:val="32"/>
          <w:szCs w:val="32"/>
        </w:rPr>
      </w:pPr>
      <w:r>
        <w:rPr>
          <w:rFonts w:eastAsia="仿宋_GB2312"/>
          <w:sz w:val="32"/>
          <w:szCs w:val="32"/>
        </w:rPr>
        <w:t>20</w:t>
      </w:r>
      <w:r w:rsidR="00232B9E">
        <w:rPr>
          <w:rFonts w:eastAsia="仿宋_GB2312" w:hint="eastAsia"/>
          <w:sz w:val="32"/>
          <w:szCs w:val="32"/>
        </w:rPr>
        <w:t>21</w:t>
      </w:r>
      <w:r>
        <w:rPr>
          <w:rFonts w:eastAsia="仿宋_GB2312"/>
          <w:sz w:val="32"/>
          <w:szCs w:val="32"/>
        </w:rPr>
        <w:t>年末，我单位共有编制</w:t>
      </w:r>
      <w:r>
        <w:rPr>
          <w:rFonts w:eastAsia="仿宋_GB2312" w:hint="eastAsia"/>
          <w:sz w:val="32"/>
          <w:szCs w:val="32"/>
        </w:rPr>
        <w:t xml:space="preserve"> </w:t>
      </w:r>
      <w:r w:rsidR="00232B9E">
        <w:rPr>
          <w:rFonts w:eastAsia="仿宋_GB2312" w:hint="eastAsia"/>
          <w:sz w:val="32"/>
          <w:szCs w:val="32"/>
        </w:rPr>
        <w:t>81</w:t>
      </w:r>
      <w:r>
        <w:rPr>
          <w:rFonts w:eastAsia="仿宋_GB2312" w:hint="eastAsia"/>
          <w:sz w:val="32"/>
          <w:szCs w:val="32"/>
        </w:rPr>
        <w:t xml:space="preserve"> </w:t>
      </w:r>
      <w:r>
        <w:rPr>
          <w:rFonts w:eastAsia="仿宋_GB2312"/>
          <w:sz w:val="32"/>
          <w:szCs w:val="32"/>
        </w:rPr>
        <w:t>人，其中行政编制</w:t>
      </w:r>
      <w:r>
        <w:rPr>
          <w:rFonts w:eastAsia="仿宋_GB2312" w:hint="eastAsia"/>
          <w:sz w:val="32"/>
          <w:szCs w:val="32"/>
        </w:rPr>
        <w:t xml:space="preserve">  </w:t>
      </w:r>
      <w:r w:rsidR="00232B9E">
        <w:rPr>
          <w:rFonts w:eastAsia="仿宋_GB2312" w:hint="eastAsia"/>
          <w:sz w:val="32"/>
          <w:szCs w:val="32"/>
        </w:rPr>
        <w:t>4</w:t>
      </w:r>
      <w:r>
        <w:rPr>
          <w:rFonts w:eastAsia="仿宋_GB2312"/>
          <w:sz w:val="32"/>
          <w:szCs w:val="32"/>
        </w:rPr>
        <w:t>人，事业编制</w:t>
      </w:r>
      <w:r>
        <w:rPr>
          <w:rFonts w:eastAsia="仿宋_GB2312" w:hint="eastAsia"/>
          <w:sz w:val="32"/>
          <w:szCs w:val="32"/>
        </w:rPr>
        <w:t xml:space="preserve"> </w:t>
      </w:r>
      <w:r w:rsidR="00232B9E">
        <w:rPr>
          <w:rFonts w:eastAsia="仿宋_GB2312" w:hint="eastAsia"/>
          <w:sz w:val="32"/>
          <w:szCs w:val="32"/>
        </w:rPr>
        <w:t>77</w:t>
      </w:r>
      <w:r>
        <w:rPr>
          <w:rFonts w:eastAsia="仿宋_GB2312" w:hint="eastAsia"/>
          <w:sz w:val="32"/>
          <w:szCs w:val="32"/>
        </w:rPr>
        <w:t xml:space="preserve"> </w:t>
      </w:r>
      <w:r>
        <w:rPr>
          <w:rFonts w:eastAsia="仿宋_GB2312"/>
          <w:sz w:val="32"/>
          <w:szCs w:val="32"/>
        </w:rPr>
        <w:t>人。年末实有在职人员</w:t>
      </w:r>
      <w:r>
        <w:rPr>
          <w:rFonts w:eastAsia="仿宋_GB2312" w:hint="eastAsia"/>
          <w:sz w:val="32"/>
          <w:szCs w:val="32"/>
        </w:rPr>
        <w:t xml:space="preserve">  </w:t>
      </w:r>
      <w:r w:rsidR="00232B9E">
        <w:rPr>
          <w:rFonts w:eastAsia="仿宋_GB2312" w:hint="eastAsia"/>
          <w:sz w:val="32"/>
          <w:szCs w:val="32"/>
        </w:rPr>
        <w:t>81</w:t>
      </w:r>
      <w:r>
        <w:rPr>
          <w:rFonts w:eastAsia="仿宋_GB2312"/>
          <w:sz w:val="32"/>
          <w:szCs w:val="32"/>
        </w:rPr>
        <w:t>人，</w:t>
      </w:r>
      <w:r w:rsidR="00232B9E">
        <w:rPr>
          <w:rFonts w:eastAsia="仿宋_GB2312" w:hint="eastAsia"/>
          <w:sz w:val="32"/>
          <w:szCs w:val="32"/>
        </w:rPr>
        <w:t>退</w:t>
      </w:r>
      <w:r>
        <w:rPr>
          <w:rFonts w:eastAsia="仿宋_GB2312"/>
          <w:sz w:val="32"/>
          <w:szCs w:val="32"/>
        </w:rPr>
        <w:t>休人员</w:t>
      </w:r>
      <w:r>
        <w:rPr>
          <w:rFonts w:eastAsia="仿宋_GB2312" w:hint="eastAsia"/>
          <w:sz w:val="32"/>
          <w:szCs w:val="32"/>
        </w:rPr>
        <w:t xml:space="preserve">  </w:t>
      </w:r>
      <w:r w:rsidR="00232B9E">
        <w:rPr>
          <w:rFonts w:eastAsia="仿宋_GB2312" w:hint="eastAsia"/>
          <w:sz w:val="32"/>
          <w:szCs w:val="32"/>
        </w:rPr>
        <w:t>6</w:t>
      </w:r>
      <w:r>
        <w:rPr>
          <w:rFonts w:eastAsia="仿宋_GB2312"/>
          <w:sz w:val="32"/>
          <w:szCs w:val="32"/>
        </w:rPr>
        <w:t>人。</w:t>
      </w:r>
    </w:p>
    <w:p w:rsidR="00E61344" w:rsidRDefault="00E61344" w:rsidP="00E61344">
      <w:pPr>
        <w:numPr>
          <w:ilvl w:val="0"/>
          <w:numId w:val="1"/>
        </w:numPr>
        <w:adjustRightInd/>
        <w:snapToGrid/>
        <w:spacing w:after="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E61344" w:rsidRDefault="00E61344" w:rsidP="00E61344">
      <w:pPr>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E61344" w:rsidRDefault="00E61344" w:rsidP="00E61344">
      <w:pPr>
        <w:tabs>
          <w:tab w:val="left" w:pos="2296"/>
        </w:tabs>
        <w:spacing w:line="600" w:lineRule="exact"/>
        <w:ind w:firstLineChars="200" w:firstLine="640"/>
        <w:rPr>
          <w:rFonts w:eastAsia="仿宋_GB2312"/>
          <w:sz w:val="32"/>
          <w:szCs w:val="32"/>
        </w:rPr>
      </w:pPr>
      <w:r>
        <w:rPr>
          <w:rFonts w:eastAsia="仿宋_GB2312"/>
          <w:sz w:val="32"/>
          <w:szCs w:val="32"/>
        </w:rPr>
        <w:t>基本支出系保障我</w:t>
      </w:r>
      <w:r w:rsidR="00232B9E">
        <w:rPr>
          <w:rFonts w:eastAsia="仿宋_GB2312" w:hint="eastAsia"/>
          <w:sz w:val="32"/>
          <w:szCs w:val="32"/>
        </w:rPr>
        <w:t>局</w:t>
      </w:r>
      <w:r>
        <w:rPr>
          <w:rFonts w:eastAsia="仿宋_GB2312"/>
          <w:sz w:val="32"/>
          <w:szCs w:val="32"/>
        </w:rPr>
        <w:t>机构正常运转、完成日常工作任务而发生的各项支出，包括用于在职和退休人员基本工资、津贴补贴等人员经费以及办公费、印刷费、水电费、办公设备购置等日常公用经费。</w:t>
      </w:r>
      <w:r>
        <w:rPr>
          <w:rFonts w:eastAsia="仿宋_GB2312"/>
          <w:sz w:val="32"/>
          <w:szCs w:val="32"/>
        </w:rPr>
        <w:t>20</w:t>
      </w:r>
      <w:r w:rsidR="00232B9E">
        <w:rPr>
          <w:rFonts w:eastAsia="仿宋_GB2312" w:hint="eastAsia"/>
          <w:sz w:val="32"/>
          <w:szCs w:val="32"/>
        </w:rPr>
        <w:t>21</w:t>
      </w:r>
      <w:r>
        <w:rPr>
          <w:rFonts w:eastAsia="仿宋_GB2312"/>
          <w:sz w:val="32"/>
          <w:szCs w:val="32"/>
        </w:rPr>
        <w:t>年基本支出</w:t>
      </w:r>
      <w:r w:rsidR="00232B9E">
        <w:rPr>
          <w:rFonts w:eastAsia="仿宋_GB2312" w:hint="eastAsia"/>
          <w:sz w:val="32"/>
          <w:szCs w:val="32"/>
        </w:rPr>
        <w:t>1229.56</w:t>
      </w:r>
      <w:r>
        <w:rPr>
          <w:rFonts w:eastAsia="仿宋_GB2312"/>
          <w:sz w:val="32"/>
          <w:szCs w:val="32"/>
        </w:rPr>
        <w:t>万元，较上年</w:t>
      </w:r>
      <w:r w:rsidR="00232B9E">
        <w:rPr>
          <w:rFonts w:eastAsia="仿宋_GB2312" w:hint="eastAsia"/>
          <w:sz w:val="32"/>
          <w:szCs w:val="32"/>
        </w:rPr>
        <w:t>增加</w:t>
      </w:r>
      <w:r w:rsidR="00232B9E">
        <w:rPr>
          <w:rFonts w:eastAsia="仿宋_GB2312" w:hint="eastAsia"/>
          <w:sz w:val="32"/>
          <w:szCs w:val="32"/>
        </w:rPr>
        <w:t>157.49</w:t>
      </w:r>
      <w:r>
        <w:rPr>
          <w:rFonts w:eastAsia="仿宋_GB2312"/>
          <w:sz w:val="32"/>
          <w:szCs w:val="32"/>
        </w:rPr>
        <w:t>万元。</w:t>
      </w:r>
      <w:r>
        <w:rPr>
          <w:rFonts w:eastAsia="仿宋_GB2312"/>
          <w:color w:val="000000"/>
          <w:sz w:val="32"/>
          <w:szCs w:val="32"/>
        </w:rPr>
        <w:t>基本支出中人员经费</w:t>
      </w:r>
      <w:r w:rsidR="00232B9E">
        <w:rPr>
          <w:rFonts w:eastAsia="仿宋_GB2312" w:hint="eastAsia"/>
          <w:color w:val="000000"/>
          <w:sz w:val="32"/>
          <w:szCs w:val="32"/>
        </w:rPr>
        <w:t>1016.88</w:t>
      </w:r>
      <w:r w:rsidR="00232B9E">
        <w:rPr>
          <w:rFonts w:eastAsia="仿宋_GB2312" w:hint="eastAsia"/>
          <w:color w:val="000000"/>
          <w:sz w:val="32"/>
          <w:szCs w:val="32"/>
        </w:rPr>
        <w:t>万</w:t>
      </w:r>
      <w:r>
        <w:rPr>
          <w:rFonts w:eastAsia="仿宋_GB2312"/>
          <w:color w:val="000000"/>
          <w:sz w:val="32"/>
          <w:szCs w:val="32"/>
        </w:rPr>
        <w:lastRenderedPageBreak/>
        <w:t>元，占基本支出的</w:t>
      </w:r>
      <w:r w:rsidR="00167DA4">
        <w:rPr>
          <w:rFonts w:eastAsia="仿宋_GB2312" w:hint="eastAsia"/>
          <w:color w:val="000000"/>
          <w:sz w:val="32"/>
          <w:szCs w:val="32"/>
        </w:rPr>
        <w:t>82.7</w:t>
      </w:r>
      <w:r>
        <w:rPr>
          <w:rFonts w:eastAsia="仿宋_GB2312"/>
          <w:color w:val="000000"/>
          <w:sz w:val="32"/>
          <w:szCs w:val="32"/>
        </w:rPr>
        <w:t>%</w:t>
      </w:r>
      <w:r>
        <w:rPr>
          <w:rFonts w:eastAsia="仿宋_GB2312"/>
          <w:color w:val="000000"/>
          <w:sz w:val="32"/>
          <w:szCs w:val="32"/>
        </w:rPr>
        <w:t>，</w:t>
      </w:r>
      <w:r>
        <w:rPr>
          <w:rFonts w:eastAsia="仿宋_GB2312" w:hint="eastAsia"/>
          <w:color w:val="000000"/>
          <w:sz w:val="32"/>
          <w:szCs w:val="32"/>
        </w:rPr>
        <w:t>与上年基本持平；</w:t>
      </w:r>
      <w:r>
        <w:rPr>
          <w:rFonts w:eastAsia="仿宋_GB2312"/>
          <w:color w:val="000000"/>
          <w:sz w:val="32"/>
          <w:szCs w:val="32"/>
        </w:rPr>
        <w:t>日常公用经费</w:t>
      </w:r>
      <w:r w:rsidR="00167DA4">
        <w:rPr>
          <w:rFonts w:eastAsia="仿宋_GB2312" w:hint="eastAsia"/>
          <w:color w:val="000000"/>
          <w:sz w:val="32"/>
          <w:szCs w:val="32"/>
        </w:rPr>
        <w:t>212.68</w:t>
      </w:r>
      <w:r>
        <w:rPr>
          <w:rFonts w:eastAsia="仿宋_GB2312"/>
          <w:color w:val="000000"/>
          <w:sz w:val="32"/>
          <w:szCs w:val="32"/>
        </w:rPr>
        <w:t>万元，占基本支出的</w:t>
      </w:r>
      <w:r w:rsidR="00167DA4">
        <w:rPr>
          <w:rFonts w:eastAsia="仿宋_GB2312" w:hint="eastAsia"/>
          <w:color w:val="000000"/>
          <w:sz w:val="32"/>
          <w:szCs w:val="32"/>
        </w:rPr>
        <w:t>17.3</w:t>
      </w:r>
      <w:r>
        <w:rPr>
          <w:rFonts w:eastAsia="仿宋_GB2312"/>
          <w:color w:val="000000"/>
          <w:sz w:val="32"/>
          <w:szCs w:val="32"/>
        </w:rPr>
        <w:t>%</w:t>
      </w:r>
      <w:r>
        <w:rPr>
          <w:rFonts w:eastAsia="仿宋_GB2312"/>
          <w:color w:val="000000"/>
          <w:sz w:val="32"/>
          <w:szCs w:val="32"/>
        </w:rPr>
        <w:t>，</w:t>
      </w:r>
      <w:r w:rsidR="00167DA4">
        <w:rPr>
          <w:rFonts w:eastAsia="仿宋_GB2312" w:hint="eastAsia"/>
          <w:color w:val="000000"/>
          <w:sz w:val="32"/>
          <w:szCs w:val="32"/>
        </w:rPr>
        <w:t>与上年基本持平</w:t>
      </w:r>
      <w:r>
        <w:rPr>
          <w:rFonts w:eastAsia="仿宋_GB2312" w:hint="eastAsia"/>
          <w:color w:val="000000"/>
          <w:sz w:val="32"/>
          <w:szCs w:val="32"/>
        </w:rPr>
        <w:t>，主要原因是</w:t>
      </w:r>
      <w:r w:rsidR="00167DA4">
        <w:rPr>
          <w:rFonts w:eastAsia="仿宋_GB2312" w:hint="eastAsia"/>
          <w:color w:val="000000"/>
          <w:sz w:val="32"/>
          <w:szCs w:val="32"/>
        </w:rPr>
        <w:t>虽然增加了人员，但</w:t>
      </w:r>
      <w:r>
        <w:rPr>
          <w:rFonts w:eastAsia="仿宋_GB2312" w:hint="eastAsia"/>
          <w:color w:val="000000"/>
          <w:sz w:val="32"/>
          <w:szCs w:val="32"/>
        </w:rPr>
        <w:t>受疫情影响和压减非重点、刚性支出要求，我单位厉行节约、严格把关，严控三公经费支出，大力压减公用经费支出。</w:t>
      </w:r>
    </w:p>
    <w:p w:rsidR="00E61344" w:rsidRDefault="00E61344" w:rsidP="00E61344">
      <w:pPr>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E61344" w:rsidRDefault="00167DA4" w:rsidP="00E61344">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项目支出系我</w:t>
      </w:r>
      <w:r>
        <w:rPr>
          <w:rFonts w:eastAsia="仿宋_GB2312" w:hint="eastAsia"/>
          <w:sz w:val="32"/>
          <w:szCs w:val="32"/>
        </w:rPr>
        <w:t>局</w:t>
      </w:r>
      <w:r>
        <w:rPr>
          <w:rFonts w:eastAsia="仿宋_GB2312"/>
          <w:sz w:val="32"/>
          <w:szCs w:val="32"/>
        </w:rPr>
        <w:t>为完成财政财务管理工作而发生的支出，包括</w:t>
      </w:r>
      <w:r>
        <w:rPr>
          <w:rFonts w:eastAsia="仿宋_GB2312" w:hint="eastAsia"/>
          <w:sz w:val="32"/>
          <w:szCs w:val="32"/>
        </w:rPr>
        <w:t>部门</w:t>
      </w:r>
      <w:r w:rsidR="00E61344">
        <w:rPr>
          <w:rFonts w:eastAsia="仿宋_GB2312"/>
          <w:sz w:val="32"/>
          <w:szCs w:val="32"/>
        </w:rPr>
        <w:t>业务工作经费和</w:t>
      </w:r>
      <w:r>
        <w:rPr>
          <w:rFonts w:eastAsia="仿宋_GB2312" w:hint="eastAsia"/>
          <w:sz w:val="32"/>
          <w:szCs w:val="32"/>
        </w:rPr>
        <w:t>全区性项目</w:t>
      </w:r>
      <w:r w:rsidR="00E61344">
        <w:rPr>
          <w:rFonts w:eastAsia="仿宋_GB2312"/>
          <w:sz w:val="32"/>
          <w:szCs w:val="32"/>
        </w:rPr>
        <w:t>经费。业务工作经费支出主要用于</w:t>
      </w:r>
      <w:r w:rsidR="00806724">
        <w:rPr>
          <w:rFonts w:eastAsia="仿宋_GB2312" w:hint="eastAsia"/>
          <w:sz w:val="32"/>
          <w:szCs w:val="32"/>
        </w:rPr>
        <w:t>执法协管人员经费、</w:t>
      </w:r>
      <w:r>
        <w:rPr>
          <w:rFonts w:eastAsia="仿宋_GB2312" w:hint="eastAsia"/>
          <w:sz w:val="32"/>
          <w:szCs w:val="32"/>
        </w:rPr>
        <w:t>景区卡口管理景区、卡口伙食补助</w:t>
      </w:r>
      <w:r w:rsidR="00E61344">
        <w:rPr>
          <w:rFonts w:eastAsia="仿宋_GB2312"/>
          <w:sz w:val="32"/>
          <w:szCs w:val="32"/>
        </w:rPr>
        <w:t>、</w:t>
      </w:r>
      <w:r>
        <w:rPr>
          <w:rFonts w:eastAsia="仿宋_GB2312" w:hint="eastAsia"/>
          <w:sz w:val="32"/>
          <w:szCs w:val="32"/>
        </w:rPr>
        <w:t>执法管理</w:t>
      </w:r>
      <w:r w:rsidR="00E61344">
        <w:rPr>
          <w:rFonts w:eastAsia="仿宋_GB2312" w:hint="eastAsia"/>
          <w:sz w:val="32"/>
          <w:szCs w:val="32"/>
        </w:rPr>
        <w:t>、</w:t>
      </w:r>
      <w:r>
        <w:rPr>
          <w:rFonts w:eastAsia="仿宋_GB2312" w:hint="eastAsia"/>
          <w:sz w:val="32"/>
          <w:szCs w:val="32"/>
        </w:rPr>
        <w:t>市容渣土管理、牛皮癣管理、</w:t>
      </w:r>
      <w:r w:rsidR="00E61344">
        <w:rPr>
          <w:rFonts w:eastAsia="仿宋_GB2312" w:hint="eastAsia"/>
          <w:sz w:val="32"/>
          <w:szCs w:val="32"/>
        </w:rPr>
        <w:t>……</w:t>
      </w:r>
      <w:r w:rsidR="00E61344">
        <w:rPr>
          <w:rFonts w:eastAsia="仿宋_GB2312"/>
          <w:sz w:val="32"/>
          <w:szCs w:val="32"/>
        </w:rPr>
        <w:t>等</w:t>
      </w:r>
      <w:r>
        <w:rPr>
          <w:rFonts w:eastAsia="仿宋_GB2312" w:hint="eastAsia"/>
          <w:sz w:val="32"/>
          <w:szCs w:val="32"/>
        </w:rPr>
        <w:t>。全区性项目包括智慧城管</w:t>
      </w:r>
      <w:r w:rsidR="00E61344">
        <w:rPr>
          <w:rFonts w:eastAsia="仿宋_GB2312"/>
          <w:sz w:val="32"/>
          <w:szCs w:val="32"/>
        </w:rPr>
        <w:t>信息</w:t>
      </w:r>
      <w:r w:rsidR="00806724">
        <w:rPr>
          <w:rFonts w:eastAsia="仿宋_GB2312" w:hint="eastAsia"/>
          <w:sz w:val="32"/>
          <w:szCs w:val="32"/>
        </w:rPr>
        <w:t>平台</w:t>
      </w:r>
      <w:r w:rsidR="00E61344">
        <w:rPr>
          <w:rFonts w:eastAsia="仿宋_GB2312"/>
          <w:sz w:val="32"/>
          <w:szCs w:val="32"/>
        </w:rPr>
        <w:t>建设</w:t>
      </w:r>
      <w:r w:rsidR="00806724">
        <w:rPr>
          <w:rFonts w:eastAsia="仿宋_GB2312" w:hint="eastAsia"/>
          <w:sz w:val="32"/>
          <w:szCs w:val="32"/>
        </w:rPr>
        <w:t>和门店招牌提质改造</w:t>
      </w:r>
      <w:r w:rsidR="00E61344">
        <w:rPr>
          <w:rFonts w:eastAsia="仿宋_GB2312"/>
          <w:sz w:val="32"/>
          <w:szCs w:val="32"/>
        </w:rPr>
        <w:t>等方面。</w:t>
      </w:r>
      <w:r w:rsidR="00E61344">
        <w:rPr>
          <w:rFonts w:eastAsia="仿宋_GB2312"/>
          <w:sz w:val="32"/>
          <w:szCs w:val="32"/>
        </w:rPr>
        <w:t>20</w:t>
      </w:r>
      <w:r w:rsidR="00806724">
        <w:rPr>
          <w:rFonts w:eastAsia="仿宋_GB2312" w:hint="eastAsia"/>
          <w:sz w:val="32"/>
          <w:szCs w:val="32"/>
        </w:rPr>
        <w:t>21</w:t>
      </w:r>
      <w:r w:rsidR="00E61344">
        <w:rPr>
          <w:rFonts w:eastAsia="仿宋_GB2312"/>
          <w:sz w:val="32"/>
          <w:szCs w:val="32"/>
        </w:rPr>
        <w:t>年项目支出</w:t>
      </w:r>
      <w:r w:rsidR="00806724">
        <w:rPr>
          <w:rFonts w:eastAsia="仿宋_GB2312" w:hint="eastAsia"/>
          <w:sz w:val="32"/>
          <w:szCs w:val="32"/>
        </w:rPr>
        <w:t>704.42</w:t>
      </w:r>
      <w:r w:rsidR="00E61344">
        <w:rPr>
          <w:rFonts w:eastAsia="仿宋_GB2312"/>
          <w:sz w:val="32"/>
          <w:szCs w:val="32"/>
        </w:rPr>
        <w:t>万元，比上年</w:t>
      </w:r>
      <w:r w:rsidR="00806724">
        <w:rPr>
          <w:rFonts w:eastAsia="仿宋_GB2312" w:hint="eastAsia"/>
          <w:sz w:val="32"/>
          <w:szCs w:val="32"/>
        </w:rPr>
        <w:t>增加</w:t>
      </w:r>
      <w:r w:rsidR="00806724">
        <w:rPr>
          <w:rFonts w:eastAsia="仿宋_GB2312" w:hint="eastAsia"/>
          <w:sz w:val="32"/>
          <w:szCs w:val="32"/>
        </w:rPr>
        <w:t>201.41</w:t>
      </w:r>
      <w:r w:rsidR="00E61344">
        <w:rPr>
          <w:rFonts w:eastAsia="仿宋_GB2312"/>
          <w:sz w:val="32"/>
          <w:szCs w:val="32"/>
        </w:rPr>
        <w:t>万元</w:t>
      </w:r>
      <w:r w:rsidR="00E61344">
        <w:rPr>
          <w:rFonts w:eastAsia="仿宋_GB2312" w:hint="eastAsia"/>
          <w:sz w:val="32"/>
          <w:szCs w:val="32"/>
        </w:rPr>
        <w:t>，</w:t>
      </w:r>
      <w:r w:rsidR="00E61344">
        <w:rPr>
          <w:rFonts w:eastAsia="仿宋_GB2312"/>
          <w:sz w:val="32"/>
          <w:szCs w:val="32"/>
        </w:rPr>
        <w:t>其中业务工作经费支出</w:t>
      </w:r>
      <w:r w:rsidR="00E61344">
        <w:rPr>
          <w:rFonts w:eastAsia="仿宋_GB2312" w:hint="eastAsia"/>
          <w:sz w:val="32"/>
          <w:szCs w:val="32"/>
        </w:rPr>
        <w:t xml:space="preserve"> </w:t>
      </w:r>
      <w:r w:rsidR="000344D8">
        <w:rPr>
          <w:rFonts w:eastAsia="仿宋_GB2312" w:hint="eastAsia"/>
          <w:sz w:val="32"/>
          <w:szCs w:val="32"/>
        </w:rPr>
        <w:t>457</w:t>
      </w:r>
      <w:r w:rsidR="00806724">
        <w:rPr>
          <w:rFonts w:eastAsia="仿宋_GB2312" w:hint="eastAsia"/>
          <w:sz w:val="32"/>
          <w:szCs w:val="32"/>
        </w:rPr>
        <w:t>.11</w:t>
      </w:r>
      <w:r w:rsidR="00E61344">
        <w:rPr>
          <w:rFonts w:eastAsia="仿宋_GB2312"/>
          <w:sz w:val="32"/>
          <w:szCs w:val="32"/>
        </w:rPr>
        <w:t>万元，比上年</w:t>
      </w:r>
      <w:r w:rsidR="00E61344">
        <w:rPr>
          <w:rFonts w:eastAsia="仿宋_GB2312" w:hint="eastAsia"/>
          <w:sz w:val="32"/>
          <w:szCs w:val="32"/>
        </w:rPr>
        <w:t>减少</w:t>
      </w:r>
      <w:r w:rsidR="000344D8">
        <w:rPr>
          <w:rFonts w:eastAsia="仿宋_GB2312" w:hint="eastAsia"/>
          <w:sz w:val="32"/>
          <w:szCs w:val="32"/>
        </w:rPr>
        <w:t>6</w:t>
      </w:r>
      <w:r w:rsidR="00806724">
        <w:rPr>
          <w:rFonts w:eastAsia="仿宋_GB2312" w:hint="eastAsia"/>
          <w:sz w:val="32"/>
          <w:szCs w:val="32"/>
        </w:rPr>
        <w:t>.65</w:t>
      </w:r>
      <w:r w:rsidR="00E61344">
        <w:rPr>
          <w:rFonts w:eastAsia="仿宋_GB2312"/>
          <w:sz w:val="32"/>
          <w:szCs w:val="32"/>
        </w:rPr>
        <w:t>万元，主要是</w:t>
      </w:r>
      <w:r w:rsidR="00E61344">
        <w:rPr>
          <w:rFonts w:eastAsia="仿宋_GB2312" w:hint="eastAsia"/>
          <w:sz w:val="32"/>
          <w:szCs w:val="32"/>
        </w:rPr>
        <w:t>压缩一般性支出</w:t>
      </w:r>
      <w:r w:rsidR="00E61344">
        <w:rPr>
          <w:rFonts w:eastAsia="仿宋_GB2312"/>
          <w:sz w:val="32"/>
          <w:szCs w:val="32"/>
        </w:rPr>
        <w:t>；</w:t>
      </w:r>
      <w:r w:rsidR="000344D8">
        <w:rPr>
          <w:rFonts w:eastAsia="仿宋_GB2312" w:hint="eastAsia"/>
          <w:sz w:val="32"/>
          <w:szCs w:val="32"/>
        </w:rPr>
        <w:t>全区性项目支出增加</w:t>
      </w:r>
      <w:r w:rsidR="000344D8">
        <w:rPr>
          <w:rFonts w:eastAsia="仿宋_GB2312" w:hint="eastAsia"/>
          <w:sz w:val="32"/>
          <w:szCs w:val="32"/>
        </w:rPr>
        <w:t>208.06</w:t>
      </w:r>
      <w:r w:rsidR="000344D8">
        <w:rPr>
          <w:rFonts w:eastAsia="仿宋_GB2312" w:hint="eastAsia"/>
          <w:sz w:val="32"/>
          <w:szCs w:val="32"/>
        </w:rPr>
        <w:t>万元，</w:t>
      </w:r>
      <w:r w:rsidR="00E61344">
        <w:rPr>
          <w:rFonts w:eastAsia="仿宋_GB2312"/>
          <w:sz w:val="32"/>
          <w:szCs w:val="32"/>
        </w:rPr>
        <w:t>主要是</w:t>
      </w:r>
      <w:r w:rsidR="00E61344">
        <w:rPr>
          <w:rFonts w:eastAsia="仿宋_GB2312" w:hint="eastAsia"/>
          <w:sz w:val="32"/>
          <w:szCs w:val="32"/>
        </w:rPr>
        <w:t>由于</w:t>
      </w:r>
      <w:r w:rsidR="000344D8">
        <w:rPr>
          <w:rFonts w:eastAsia="仿宋_GB2312" w:hint="eastAsia"/>
          <w:sz w:val="32"/>
          <w:szCs w:val="32"/>
        </w:rPr>
        <w:t>智慧城管信息平台建设和户外广告招牌提质改造</w:t>
      </w:r>
      <w:r w:rsidR="00E61344">
        <w:rPr>
          <w:rFonts w:eastAsia="仿宋_GB2312" w:hint="eastAsia"/>
          <w:sz w:val="32"/>
          <w:szCs w:val="32"/>
        </w:rPr>
        <w:t>项目</w:t>
      </w:r>
      <w:r w:rsidR="000344D8">
        <w:rPr>
          <w:rFonts w:eastAsia="仿宋_GB2312" w:hint="eastAsia"/>
          <w:sz w:val="32"/>
          <w:szCs w:val="32"/>
        </w:rPr>
        <w:t>的</w:t>
      </w:r>
      <w:r w:rsidR="00E61344">
        <w:rPr>
          <w:rFonts w:eastAsia="仿宋_GB2312" w:hint="eastAsia"/>
          <w:sz w:val="32"/>
          <w:szCs w:val="32"/>
        </w:rPr>
        <w:t>完成</w:t>
      </w:r>
      <w:r w:rsidR="000344D8">
        <w:rPr>
          <w:rFonts w:eastAsia="仿宋_GB2312" w:hint="eastAsia"/>
          <w:sz w:val="32"/>
          <w:szCs w:val="32"/>
        </w:rPr>
        <w:t>。</w:t>
      </w:r>
      <w:r w:rsidR="009764FF">
        <w:rPr>
          <w:rFonts w:eastAsia="仿宋_GB2312" w:hint="eastAsia"/>
          <w:sz w:val="32"/>
          <w:szCs w:val="32"/>
        </w:rPr>
        <w:t xml:space="preserve">                                                                              </w:t>
      </w:r>
    </w:p>
    <w:p w:rsidR="00E61344" w:rsidRDefault="00E61344" w:rsidP="00E6134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93315C" w:rsidRPr="0093315C" w:rsidRDefault="0093315C" w:rsidP="0093315C">
      <w:pPr>
        <w:spacing w:line="600" w:lineRule="exact"/>
        <w:ind w:firstLineChars="200" w:firstLine="640"/>
        <w:rPr>
          <w:rFonts w:ascii="Times New Roman" w:eastAsia="仿宋_GB2312" w:hAnsi="Times New Roman" w:hint="eastAsia"/>
          <w:sz w:val="32"/>
          <w:szCs w:val="32"/>
        </w:rPr>
      </w:pPr>
      <w:r w:rsidRPr="0093315C">
        <w:rPr>
          <w:rFonts w:ascii="Times New Roman" w:eastAsia="仿宋_GB2312" w:hAnsi="Times New Roman" w:hint="eastAsia"/>
          <w:sz w:val="32"/>
          <w:szCs w:val="32"/>
        </w:rPr>
        <w:t>2021</w:t>
      </w:r>
      <w:r w:rsidRPr="0093315C">
        <w:rPr>
          <w:rFonts w:ascii="Times New Roman" w:eastAsia="仿宋_GB2312" w:hAnsi="Times New Roman" w:hint="eastAsia"/>
          <w:sz w:val="32"/>
          <w:szCs w:val="32"/>
        </w:rPr>
        <w:t>年，在区委、区政府的正确领导下，我局紧紧围绕南岳“打造世界级文化旅游目的地”的中心目标，凝心聚力、迎难而上、认真履责、砥砺奋进，圆满完成了各项工作任务。</w:t>
      </w:r>
    </w:p>
    <w:p w:rsidR="00E61344" w:rsidRDefault="0093315C" w:rsidP="0093315C">
      <w:pPr>
        <w:spacing w:line="600" w:lineRule="exact"/>
        <w:ind w:firstLineChars="200" w:firstLine="640"/>
        <w:rPr>
          <w:rFonts w:ascii="Times New Roman" w:eastAsia="仿宋_GB2312" w:hAnsi="Times New Roman"/>
          <w:sz w:val="32"/>
          <w:szCs w:val="32"/>
        </w:rPr>
      </w:pPr>
      <w:r w:rsidRPr="0093315C">
        <w:rPr>
          <w:rFonts w:ascii="Times New Roman" w:eastAsia="仿宋_GB2312" w:hAnsi="Times New Roman" w:hint="eastAsia"/>
          <w:sz w:val="32"/>
          <w:szCs w:val="32"/>
        </w:rPr>
        <w:lastRenderedPageBreak/>
        <w:t>2021</w:t>
      </w:r>
      <w:r w:rsidRPr="0093315C">
        <w:rPr>
          <w:rFonts w:ascii="Times New Roman" w:eastAsia="仿宋_GB2312" w:hAnsi="Times New Roman" w:hint="eastAsia"/>
          <w:sz w:val="32"/>
          <w:szCs w:val="32"/>
        </w:rPr>
        <w:t>年在资金运行维护决策正确，资金管理规范，项目管理到位，政策执行有力，有效发挥了财政资金的使用效率，各项项目资金其主要用途，优化城市市容市貌和旅游环境秩序、在人员经费支出、公共支出严格执行区委区政府精神和各项制度；在项目经费的使用上，保证各项任务顺利完成的同时，严格落实厉行节约的原则；三公经费的使用严格控制在预算申报的范围内。</w:t>
      </w:r>
    </w:p>
    <w:p w:rsidR="00E61344" w:rsidRDefault="00E61344" w:rsidP="00E6134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E61344" w:rsidRDefault="00E61344" w:rsidP="00E61344">
      <w:pPr>
        <w:spacing w:line="600" w:lineRule="exact"/>
        <w:ind w:firstLineChars="200" w:firstLine="640"/>
        <w:rPr>
          <w:rFonts w:eastAsia="仿宋_GB2312"/>
          <w:sz w:val="32"/>
          <w:szCs w:val="32"/>
        </w:rPr>
      </w:pPr>
      <w:r>
        <w:rPr>
          <w:rFonts w:eastAsia="仿宋_GB2312"/>
          <w:sz w:val="32"/>
          <w:szCs w:val="32"/>
        </w:rPr>
        <w:t>通过前述对我</w:t>
      </w:r>
      <w:r w:rsidR="006B37D8">
        <w:rPr>
          <w:rFonts w:eastAsia="仿宋_GB2312" w:hint="eastAsia"/>
          <w:sz w:val="32"/>
          <w:szCs w:val="32"/>
        </w:rPr>
        <w:t>局</w:t>
      </w:r>
      <w:r>
        <w:rPr>
          <w:rFonts w:eastAsia="仿宋_GB2312"/>
          <w:sz w:val="32"/>
          <w:szCs w:val="32"/>
        </w:rPr>
        <w:t>整体支出情况的分析，反映出目前整体支出主要在预算执行方面还存在一些问题和不足：</w:t>
      </w:r>
    </w:p>
    <w:p w:rsidR="00E61344" w:rsidRDefault="00E61344" w:rsidP="00E61344">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E61344" w:rsidRDefault="00E61344" w:rsidP="00E61344">
      <w:pPr>
        <w:spacing w:line="600" w:lineRule="exact"/>
        <w:ind w:firstLineChars="200" w:firstLine="640"/>
        <w:rPr>
          <w:rFonts w:eastAsia="仿宋_GB2312"/>
          <w:sz w:val="32"/>
          <w:szCs w:val="32"/>
        </w:rPr>
      </w:pPr>
      <w:r>
        <w:rPr>
          <w:rFonts w:eastAsia="仿宋_GB2312" w:hint="eastAsia"/>
          <w:sz w:val="32"/>
          <w:szCs w:val="32"/>
        </w:rPr>
        <w:t>由于疫情冲击影响的客观因素，以及牢固树立过紧日子思想，主动压缩非重点、刚性支出的主观因素，导致部分预算项目如培训费、</w:t>
      </w:r>
      <w:r w:rsidR="00221CC7">
        <w:rPr>
          <w:rFonts w:eastAsia="仿宋_GB2312" w:hint="eastAsia"/>
          <w:sz w:val="32"/>
          <w:szCs w:val="32"/>
        </w:rPr>
        <w:t>会议</w:t>
      </w:r>
      <w:r>
        <w:rPr>
          <w:rFonts w:eastAsia="仿宋_GB2312" w:hint="eastAsia"/>
          <w:sz w:val="32"/>
          <w:szCs w:val="32"/>
        </w:rPr>
        <w:t>费</w:t>
      </w:r>
      <w:r w:rsidR="00221CC7">
        <w:rPr>
          <w:rFonts w:eastAsia="仿宋_GB2312" w:hint="eastAsia"/>
          <w:sz w:val="32"/>
          <w:szCs w:val="32"/>
        </w:rPr>
        <w:t>、公务接待费等</w:t>
      </w:r>
      <w:r>
        <w:rPr>
          <w:rFonts w:eastAsia="仿宋_GB2312" w:hint="eastAsia"/>
          <w:sz w:val="32"/>
          <w:szCs w:val="32"/>
        </w:rPr>
        <w:t>预算执行情况不理想，其中培训费实际支付</w:t>
      </w:r>
      <w:r w:rsidR="00221CC7">
        <w:rPr>
          <w:rFonts w:eastAsia="仿宋_GB2312" w:hint="eastAsia"/>
          <w:sz w:val="32"/>
          <w:szCs w:val="32"/>
        </w:rPr>
        <w:t>为</w:t>
      </w:r>
      <w:r w:rsidR="00221CC7">
        <w:rPr>
          <w:rFonts w:eastAsia="仿宋_GB2312" w:hint="eastAsia"/>
          <w:sz w:val="32"/>
          <w:szCs w:val="32"/>
        </w:rPr>
        <w:t>155</w:t>
      </w:r>
      <w:r w:rsidR="00221CC7">
        <w:rPr>
          <w:rFonts w:eastAsia="仿宋_GB2312" w:hint="eastAsia"/>
          <w:sz w:val="32"/>
          <w:szCs w:val="32"/>
        </w:rPr>
        <w:t>元</w:t>
      </w:r>
      <w:r>
        <w:rPr>
          <w:rFonts w:eastAsia="仿宋_GB2312" w:hint="eastAsia"/>
          <w:sz w:val="32"/>
          <w:szCs w:val="32"/>
        </w:rPr>
        <w:t>，</w:t>
      </w:r>
      <w:r w:rsidR="00221CC7">
        <w:rPr>
          <w:rFonts w:eastAsia="仿宋_GB2312" w:hint="eastAsia"/>
          <w:sz w:val="32"/>
          <w:szCs w:val="32"/>
        </w:rPr>
        <w:t>会议费实际支出为</w:t>
      </w:r>
      <w:r w:rsidR="00221CC7">
        <w:rPr>
          <w:rFonts w:eastAsia="仿宋_GB2312" w:hint="eastAsia"/>
          <w:sz w:val="32"/>
          <w:szCs w:val="32"/>
        </w:rPr>
        <w:t>0</w:t>
      </w:r>
      <w:r w:rsidR="00221CC7">
        <w:rPr>
          <w:rFonts w:eastAsia="仿宋_GB2312" w:hint="eastAsia"/>
          <w:sz w:val="32"/>
          <w:szCs w:val="32"/>
        </w:rPr>
        <w:t>，公务接待费实际支付</w:t>
      </w:r>
      <w:r>
        <w:rPr>
          <w:rFonts w:eastAsia="仿宋_GB2312" w:hint="eastAsia"/>
          <w:sz w:val="32"/>
          <w:szCs w:val="32"/>
        </w:rPr>
        <w:t>为</w:t>
      </w:r>
      <w:r>
        <w:rPr>
          <w:rFonts w:eastAsia="仿宋_GB2312" w:hint="eastAsia"/>
          <w:sz w:val="32"/>
          <w:szCs w:val="32"/>
        </w:rPr>
        <w:t>0</w:t>
      </w:r>
      <w:r>
        <w:rPr>
          <w:rFonts w:eastAsia="仿宋_GB2312" w:hint="eastAsia"/>
          <w:sz w:val="32"/>
          <w:szCs w:val="32"/>
        </w:rPr>
        <w:t>。我们将在</w:t>
      </w:r>
      <w:r>
        <w:rPr>
          <w:rFonts w:eastAsia="仿宋_GB2312"/>
          <w:sz w:val="32"/>
          <w:szCs w:val="32"/>
        </w:rPr>
        <w:t>下年加以重视，</w:t>
      </w:r>
      <w:r>
        <w:rPr>
          <w:rFonts w:eastAsia="仿宋_GB2312" w:hint="eastAsia"/>
          <w:sz w:val="32"/>
          <w:szCs w:val="32"/>
        </w:rPr>
        <w:t>提前谋划，</w:t>
      </w:r>
      <w:r w:rsidR="00221CC7">
        <w:rPr>
          <w:rFonts w:eastAsia="仿宋_GB2312" w:hint="eastAsia"/>
          <w:sz w:val="32"/>
          <w:szCs w:val="32"/>
        </w:rPr>
        <w:t>科学编制</w:t>
      </w:r>
      <w:r>
        <w:rPr>
          <w:rFonts w:eastAsia="仿宋_GB2312" w:hint="eastAsia"/>
          <w:sz w:val="32"/>
          <w:szCs w:val="32"/>
        </w:rPr>
        <w:t>预算，进一步提高预算编制的精确性。</w:t>
      </w:r>
      <w:r>
        <w:rPr>
          <w:rFonts w:eastAsia="仿宋_GB2312" w:hint="eastAsia"/>
          <w:sz w:val="32"/>
          <w:szCs w:val="32"/>
        </w:rPr>
        <w:t xml:space="preserve">    </w:t>
      </w:r>
    </w:p>
    <w:p w:rsidR="00E61344" w:rsidRDefault="00E61344" w:rsidP="00E61344">
      <w:pPr>
        <w:numPr>
          <w:ilvl w:val="0"/>
          <w:numId w:val="2"/>
        </w:numPr>
        <w:adjustRightInd/>
        <w:snapToGrid/>
        <w:spacing w:after="0"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E61344" w:rsidRDefault="00E61344" w:rsidP="00E61344">
      <w:pPr>
        <w:spacing w:line="600" w:lineRule="exact"/>
        <w:ind w:firstLineChars="200" w:firstLine="640"/>
        <w:rPr>
          <w:rFonts w:eastAsia="仿宋_GB2312"/>
          <w:sz w:val="32"/>
          <w:szCs w:val="32"/>
        </w:rPr>
      </w:pPr>
      <w:r>
        <w:rPr>
          <w:rFonts w:eastAsia="仿宋_GB2312"/>
          <w:sz w:val="32"/>
          <w:szCs w:val="32"/>
        </w:rPr>
        <w:t>针对上述存在的问题，拟采取以下改进措施：</w:t>
      </w:r>
    </w:p>
    <w:p w:rsidR="00E61344" w:rsidRDefault="00E61344" w:rsidP="00E61344">
      <w:pPr>
        <w:spacing w:line="600" w:lineRule="exact"/>
        <w:ind w:firstLineChars="200" w:firstLine="640"/>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w:t>
      </w:r>
      <w:r>
        <w:rPr>
          <w:rFonts w:eastAsia="仿宋_GB2312" w:hint="eastAsia"/>
          <w:sz w:val="32"/>
          <w:szCs w:val="32"/>
        </w:rPr>
        <w:lastRenderedPageBreak/>
        <w:t>督促项目实施单位早启动、早实施、早验收，对符合条件的项目</w:t>
      </w:r>
      <w:r w:rsidR="00221CC7">
        <w:rPr>
          <w:rFonts w:eastAsia="仿宋_GB2312" w:hint="eastAsia"/>
          <w:sz w:val="32"/>
          <w:szCs w:val="32"/>
        </w:rPr>
        <w:t>按照项目进度支付相关款项，将预算资金管理贯穿于项目实施全过程中，</w:t>
      </w:r>
      <w:r>
        <w:rPr>
          <w:rFonts w:eastAsia="仿宋_GB2312" w:hint="eastAsia"/>
          <w:sz w:val="32"/>
          <w:szCs w:val="32"/>
        </w:rPr>
        <w:t>根据资金使用情况调整下年预算安排。</w:t>
      </w:r>
    </w:p>
    <w:p w:rsidR="004358AB" w:rsidRDefault="004358AB" w:rsidP="00D31D50">
      <w:pPr>
        <w:spacing w:line="220" w:lineRule="atLeast"/>
      </w:pPr>
    </w:p>
    <w:sectPr w:rsidR="004358AB" w:rsidSect="005A2648">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B1" w:rsidRDefault="009C79B1" w:rsidP="00E61344">
      <w:pPr>
        <w:spacing w:after="0"/>
      </w:pPr>
      <w:r>
        <w:separator/>
      </w:r>
    </w:p>
  </w:endnote>
  <w:endnote w:type="continuationSeparator" w:id="0">
    <w:p w:rsidR="009C79B1" w:rsidRDefault="009C79B1" w:rsidP="00E61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F0" w:rsidRDefault="004413A8">
    <w:pPr>
      <w:pStyle w:val="a4"/>
    </w:pPr>
    <w:r>
      <w:pict>
        <v:shapetype id="_x0000_t202" coordsize="21600,21600" o:spt="202" path="m,l,21600r21600,l21600,xe">
          <v:stroke joinstyle="miter"/>
          <v:path gradientshapeok="t" o:connecttype="rect"/>
        </v:shapetype>
        <v:shape id="_x0000_s512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929F0" w:rsidRDefault="004413A8">
                <w:pPr>
                  <w:pStyle w:val="a4"/>
                </w:pPr>
                <w:r>
                  <w:rPr>
                    <w:rFonts w:hint="eastAsia"/>
                  </w:rPr>
                  <w:fldChar w:fldCharType="begin"/>
                </w:r>
                <w:r w:rsidR="00C47AC0">
                  <w:rPr>
                    <w:rFonts w:hint="eastAsia"/>
                  </w:rPr>
                  <w:instrText xml:space="preserve"> PAGE  \* MERGEFORMAT </w:instrText>
                </w:r>
                <w:r>
                  <w:rPr>
                    <w:rFonts w:hint="eastAsia"/>
                  </w:rPr>
                  <w:fldChar w:fldCharType="separate"/>
                </w:r>
                <w:r w:rsidR="0093315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B1" w:rsidRDefault="009C79B1" w:rsidP="00E61344">
      <w:pPr>
        <w:spacing w:after="0"/>
      </w:pPr>
      <w:r>
        <w:separator/>
      </w:r>
    </w:p>
  </w:footnote>
  <w:footnote w:type="continuationSeparator" w:id="0">
    <w:p w:rsidR="009C79B1" w:rsidRDefault="009C79B1" w:rsidP="00E613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692A871F"/>
    <w:multiLevelType w:val="singleLevel"/>
    <w:tmpl w:val="692A871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useFELayout/>
  </w:compat>
  <w:rsids>
    <w:rsidRoot w:val="00D31D50"/>
    <w:rsid w:val="000344D8"/>
    <w:rsid w:val="00167DA4"/>
    <w:rsid w:val="00221CC7"/>
    <w:rsid w:val="00232B9E"/>
    <w:rsid w:val="00323B43"/>
    <w:rsid w:val="003D37D8"/>
    <w:rsid w:val="00426133"/>
    <w:rsid w:val="004358AB"/>
    <w:rsid w:val="004413A8"/>
    <w:rsid w:val="005A2648"/>
    <w:rsid w:val="005C7A7F"/>
    <w:rsid w:val="006B37D8"/>
    <w:rsid w:val="00806724"/>
    <w:rsid w:val="0088206F"/>
    <w:rsid w:val="008B7726"/>
    <w:rsid w:val="0093315C"/>
    <w:rsid w:val="009764FF"/>
    <w:rsid w:val="009C79B1"/>
    <w:rsid w:val="00B62CA2"/>
    <w:rsid w:val="00C47AC0"/>
    <w:rsid w:val="00D31D50"/>
    <w:rsid w:val="00E61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3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61344"/>
    <w:rPr>
      <w:rFonts w:ascii="Tahoma" w:hAnsi="Tahoma"/>
      <w:sz w:val="18"/>
      <w:szCs w:val="18"/>
    </w:rPr>
  </w:style>
  <w:style w:type="paragraph" w:styleId="a4">
    <w:name w:val="footer"/>
    <w:basedOn w:val="a"/>
    <w:link w:val="Char0"/>
    <w:unhideWhenUsed/>
    <w:qFormat/>
    <w:rsid w:val="00E61344"/>
    <w:pPr>
      <w:tabs>
        <w:tab w:val="center" w:pos="4153"/>
        <w:tab w:val="right" w:pos="8306"/>
      </w:tabs>
    </w:pPr>
    <w:rPr>
      <w:sz w:val="18"/>
      <w:szCs w:val="18"/>
    </w:rPr>
  </w:style>
  <w:style w:type="character" w:customStyle="1" w:styleId="Char0">
    <w:name w:val="页脚 Char"/>
    <w:basedOn w:val="a0"/>
    <w:link w:val="a4"/>
    <w:uiPriority w:val="99"/>
    <w:semiHidden/>
    <w:rsid w:val="00E61344"/>
    <w:rPr>
      <w:rFonts w:ascii="Tahoma" w:hAnsi="Tahoma"/>
      <w:sz w:val="18"/>
      <w:szCs w:val="18"/>
    </w:rPr>
  </w:style>
  <w:style w:type="paragraph" w:styleId="a5">
    <w:name w:val="Normal (Web)"/>
    <w:basedOn w:val="a"/>
    <w:rsid w:val="00E61344"/>
    <w:pPr>
      <w:adjustRightInd/>
      <w:snapToGrid/>
      <w:spacing w:before="100" w:beforeAutospacing="1" w:after="100" w:afterAutospacing="1"/>
    </w:pPr>
    <w:rPr>
      <w:rFonts w:ascii="宋体" w:eastAsiaTheme="minorEastAsia"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2022-01-29T07:03:00Z</cp:lastPrinted>
  <dcterms:created xsi:type="dcterms:W3CDTF">2008-09-11T17:20:00Z</dcterms:created>
  <dcterms:modified xsi:type="dcterms:W3CDTF">2022-01-29T07:08:00Z</dcterms:modified>
</cp:coreProperties>
</file>