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E" w:rsidRPr="00374F65" w:rsidRDefault="00491AFE">
      <w:pPr>
        <w:widowControl/>
        <w:jc w:val="center"/>
        <w:rPr>
          <w:rFonts w:eastAsia="方正小标宋_GBK"/>
          <w:b/>
          <w:sz w:val="44"/>
          <w:szCs w:val="44"/>
        </w:rPr>
      </w:pPr>
      <w:r w:rsidRPr="00374F65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南岳区财政局</w:t>
      </w:r>
      <w:r w:rsidRPr="00374F65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</w:t>
      </w:r>
      <w:r w:rsidRPr="00374F65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21</w:t>
      </w:r>
      <w:r w:rsidRPr="00374F65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年度部门整体支出绩效评价报告</w:t>
      </w:r>
    </w:p>
    <w:p w:rsidR="0034671E" w:rsidRPr="00374F65" w:rsidRDefault="00491AFE">
      <w:pPr>
        <w:spacing w:line="600" w:lineRule="exact"/>
        <w:ind w:firstLine="64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根据《中共中央国务院关于全面实施预算绩效管理的意见》的文件精神，我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局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对部门整体支出进行了绩效评价，现报告如下：</w:t>
      </w:r>
    </w:p>
    <w:p w:rsidR="0034671E" w:rsidRPr="00374F65" w:rsidRDefault="00491AFE">
      <w:pPr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一、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部门（单位）基本情况</w:t>
      </w:r>
    </w:p>
    <w:p w:rsidR="0034671E" w:rsidRDefault="00491AFE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34671E" w:rsidRDefault="00491AFE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组织贯彻执行国家财税方针政策，拟订和执行全区财税发展规划、政策、改革方案；分析预测宏观经济形势，参与拟订各项宏观经济政策；提出运用财税政策实施宏观调控和综合平衡社会财力的建议；完善鼓励公益事业发展的财税政策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承担区本级各项财政收支管理的责任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负责编制年度区本级预决算草案并组织执行，代编全区财政收支预算，汇总全区财政总决算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负责政府非税收入管理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组织实施国库管理、国库集中支付和政府采购制度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负责政府性债务管理工作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负责地方金融机构和区本级政府投融资公司的财务监管；负责国有资产管理工作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负责国有资本经营工作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负责财政支出管理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负责社保资金（基金）管理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负责管理全区的会计工作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负责财政监督检查工作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负责组织、协调和指导全区的财源建设工作。</w:t>
      </w:r>
    </w:p>
    <w:p w:rsidR="0034671E" w:rsidRDefault="00491AFE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34671E" w:rsidRDefault="00491AFE">
      <w:pPr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财政局是全额拨款的行政单位，根据区编办核定，我局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内设股室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个，分别是办公室、预算股、综合计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划股、国库股、行政政法教科文股、农业企业外经股、经济建设股、社会保障股、会计管理股、金融债务股、监督检查股、政府采购管理股。部门所属机构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个，分别是财政事务中心、乡镇财政管理中心、国库集中支付中心、财政投资评审中心。</w:t>
      </w:r>
    </w:p>
    <w:p w:rsidR="0034671E" w:rsidRDefault="00491AFE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34671E" w:rsidRDefault="00491AFE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年末，</w:t>
      </w:r>
      <w:r>
        <w:rPr>
          <w:rFonts w:eastAsia="仿宋_GB2312" w:hint="eastAsia"/>
          <w:sz w:val="32"/>
          <w:szCs w:val="32"/>
        </w:rPr>
        <w:t>编办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核定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我局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编制人数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人，其中：行政编制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人，全额事业编制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45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人，工勤编制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年末实际在岗在编人数</w:t>
      </w:r>
      <w:r w:rsid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46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人，退休人员</w:t>
      </w:r>
      <w:r w:rsid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人，临聘人员</w:t>
      </w:r>
      <w:r w:rsid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人，公务用车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台。</w:t>
      </w:r>
    </w:p>
    <w:p w:rsidR="0034671E" w:rsidRDefault="00491AFE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34671E" w:rsidRDefault="00491AFE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34671E" w:rsidRPr="00374F65" w:rsidRDefault="00491AFE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基本支出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是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保障我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局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基本支出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1039.19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万元其中：工资福利支出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701.22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万元；一般商品和服务支出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198.85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万元；对个人和家庭的补助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126.46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万元；其他资本性支出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12.65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年支出较上年增加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456.91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万元，支出增加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31%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，主要是增加景区门票税金支出。</w:t>
      </w:r>
    </w:p>
    <w:p w:rsidR="0034671E" w:rsidRDefault="00491AFE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34671E" w:rsidRPr="00374F65" w:rsidRDefault="00491AFE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项目支出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是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局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为完成财政财务管理工作而发生的支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lastRenderedPageBreak/>
        <w:t>出，包括行业务工作经费和运行维护经费。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业务工作经费支出主要用于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景区门票印刷费及景区门票税金、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财政投资评审、政府采购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电子卖场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、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全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区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财政系统信息网络建设和维护等方面。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部门项目支出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894.21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比上年增加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687.95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</w:t>
      </w: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主要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是增加景区门票印刷费及景区门票税金。</w:t>
      </w:r>
    </w:p>
    <w:p w:rsidR="0034671E" w:rsidRPr="00374F65" w:rsidRDefault="00491AFE" w:rsidP="00374F65">
      <w:pPr>
        <w:widowControl/>
        <w:spacing w:line="600" w:lineRule="exact"/>
        <w:ind w:firstLineChars="200" w:firstLine="643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374F65">
        <w:rPr>
          <w:rFonts w:ascii="Times New Roman" w:eastAsia="黑体" w:hAnsi="Times New Roman" w:cs="Times New Roman" w:hint="eastAsia"/>
          <w:b/>
          <w:sz w:val="32"/>
          <w:szCs w:val="32"/>
        </w:rPr>
        <w:t>三、</w:t>
      </w:r>
      <w:r w:rsidRPr="00374F65">
        <w:rPr>
          <w:rFonts w:ascii="Times New Roman" w:eastAsia="黑体" w:hAnsi="Times New Roman" w:cs="Times New Roman"/>
          <w:b/>
          <w:sz w:val="32"/>
          <w:szCs w:val="32"/>
        </w:rPr>
        <w:t>部门整体支出绩效情况</w:t>
      </w:r>
    </w:p>
    <w:p w:rsidR="0034671E" w:rsidRPr="00374F65" w:rsidRDefault="00491AFE" w:rsidP="00374F65">
      <w:pPr>
        <w:pStyle w:val="4"/>
        <w:spacing w:before="0" w:after="0" w:line="580" w:lineRule="exact"/>
        <w:ind w:firstLineChars="200" w:firstLine="640"/>
        <w:rPr>
          <w:rFonts w:ascii="Times New Roman" w:eastAsia="方正仿宋简体" w:hAnsi="Times New Roman" w:cs="Times New Roman"/>
          <w:bCs w:val="0"/>
          <w:color w:val="000000" w:themeColor="text1"/>
          <w:kern w:val="2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Cs w:val="0"/>
          <w:color w:val="000000" w:themeColor="text1"/>
          <w:kern w:val="2"/>
          <w:sz w:val="32"/>
          <w:szCs w:val="32"/>
        </w:rPr>
        <w:t>（一）增收入、培财源，夯实财源建设基础。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1.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厚植财源税源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补齐旅游发展短板，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统筹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年专项债券资金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9100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万用于中心景区旅游基础设施改造、忠烈祠陈烈馆及基础设施建设、祖师殿停车场站交通组织及周边旅游配套设施建设等；安排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2800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万用于景区智能停车场基础设施建设。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支持做好文物保护修缮，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万元用于南岳庙嘉应门等文物建筑修缮，拨付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万元用于南岳庙奎星阁等四处文物建筑修缮，拨付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197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万元用于南岳忠烈祠章亮基、赵绍宗将军墓修缮，拨付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万元用于南岳红色文化陈列馆改造。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加强旅游营销，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全年投入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1877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万元用于南岳旅游宣传及发展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在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年春节、五一、国庆旅游旺季，投入公安、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交警部门安保经费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490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130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禁毒相关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工作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491AFE">
      <w:pPr>
        <w:spacing w:line="580" w:lineRule="exact"/>
        <w:ind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2.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培育优质税源企业。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不断优化营商运营环境，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发放小额担保贷款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笔贷款金额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万元。截止目前，个人创业担保贷款余额为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1169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万元，全年财政贴息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支持农业产业化发展，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今年为加强田园综合体资金项目投入，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我区财政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年年初预算安排本级配套资金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万元。为继续巩固新农村示范片建设，安排早稻生产资金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万，比去年增加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倍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安排农业发展资金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470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用于加大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支持农业科技实用技术推广力度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491AFE">
      <w:pPr>
        <w:widowControl/>
        <w:spacing w:line="580" w:lineRule="exact"/>
        <w:ind w:firstLine="640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二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）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惠民生、重保障，优化财政支出结构。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1.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促进教育均衡发展。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确保教育基础设施建设投入，拨付资金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1210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万元用于南岳城区幼儿园基础设施建设，拨付资金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万元用于万福学校改扩建，拨付资金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万元用于南岳完小综合楼及教学楼外墙改造，拨付资金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440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其他各学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薄弱基础改造等。足额保障教育公用经费，拨付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年义务教育阶段学生公用经费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1023.74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155.28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万元免除普通高中学生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人学费及教材费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拨付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95.28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万元免除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中职技校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394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名学生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学费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。积极落实相关资助政策，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全年发放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困难家庭幼儿入园补助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16.15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发放贫困生生活费及贫困寄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宿生生活费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76.9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发放高中助学金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29.2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发放中职技校学生贫困生助学金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12.2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2.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健全社会保障体系。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城乡低保月最低生活保障金由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元提高至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元；特困人员月供养金由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715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元提高至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780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元；残疾人“两补”由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元提高到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元。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安排预算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余万元，用于加大残疾人扶贫、就业、托养、居家服务和残疾人意外保险等各项工作。安排资金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余万元，采取服务外包形式，为全区老年人提供养老服务平台建设、居家养老服务、社工站服务等。安排资金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万元，用于开展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0-6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岁儿童免费体检、免费孕前检查、免费产前诊断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、新生儿疾病免费筛查、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免费两癌筛查等妇幼健康检查项目。拨付资金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用于对在职职工和待业人员进行技能提升和对岗前技能培训工作。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3.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提升医疗卫生服务水平。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增加预算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落实基本公共卫生均等化服务补贴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；新增预算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万元用于新冠肺炎疫情防控专项工作。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其中，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由医保基金和各级财政按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：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比率分担费用切实落实国家、省、市新冠疫苗接种费用保障工作，确保全民免费接种新冠疫苗。同时，安排经费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余万元对新纳入的新冠病毒疫苗接种点，进行房屋改造、设施设备添置和药品采购等新冠疫苗接种门诊标准化建设；安排经费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余万元用于全员核酸检测物资储备和应急预案。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4.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完善农业农村基础设施建设。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为落实乡村振兴战略，继续加大农村建设投入，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年安排公路建设资金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万元；整合国省补助及区配套资金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对红旗、龙池、船山、岳东、紫峰、黄竹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新装公路安全护栏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公里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。加强农村公路建设及养护管理，安排债券资金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257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万元用于寿岳乡资源产业路和南岳镇旅游路建设，安排资金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万用于公路护坡水毁修复建设。创新引进公路财产保险机制，合理分担财政风险。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联合农业农村局及两个乡镇对乡镇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年早稻生产、抛荒治理面积进行审核验收，南岳镇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社区（不含延寿村）早稻生产种植面积达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3492.67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亩，抛荒治理面积达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1738.7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亩；寿岳乡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个村抛荒治理面积达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1856.3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亩。安排资金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万元用于小型农田水利补助。安排资金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140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万用于河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道管理。安排资金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万元对农村环境进行综合整治。安排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农村人居环境改善经费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460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万元，用于农村垃圾分类收集、厕所粪污治理、生活污水处理、整治村容村貌、示范村建设等，今年改厕任务为户厕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户，公厕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座。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5.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保障重点民生实事工程。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安排配套资金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1700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万保障核心景区整治拆迁工作顺利进行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万元用于设施建设维护。积极响应上级文件精神，对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年审核登记的购房补贴人员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1052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户发放购房补贴资金共计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906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万元。利用中央水污染防治专项资金，实施兴隆水库水源保护二期治理工作，确保全区人民饮水安全。统筹上级资金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1266.74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万开展金沙路片区老旧小区、万福片区老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旧小区改造工作，改善居民生活居住环境。安排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160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万用于农村“雪亮工程”建设，安排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220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万用于老旧小区电梯安装工程。安排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年债券资金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万用于粮食物资储备仓库建设。统筹结转资金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1550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万元保障创卫和创文工作，确保工程款的及时支付。安排债券资金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万元用于垃圾分类工作。安排节水型社会达标建设资金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1570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用于提高居民饮水质量。安排资金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万元督促农业部门做好农产品日常检测和春、秋两季动物防疫工作。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6.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确保惠农惠民补助发放到位。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全年通过一卡通发放的补贴资金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项，共计发放金额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3412.1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万元。为加强农村公益事业建设，今年南岳区农村综合改革转移支付公益事业奖补项目完成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大类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个，财政奖补资金达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276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万元。我区今年开展水稻种植、能繁母猪、公益林种植、育肥猪养殖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四个中央政策性农业保险和茶叶种植中央奖补特色农业保险，</w:t>
      </w:r>
      <w:bookmarkStart w:id="0" w:name="_GoBack"/>
      <w:bookmarkEnd w:id="0"/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其中水稻承保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15500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亩，全区水稻种植户全部参保，承保面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；能繁母猪承保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头，全区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户养殖大户参保；公益林保险投保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208587.26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亩，承保面达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；育肥猪承保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12000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头，规模养殖户全部投保。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7.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防范化解重大风险。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按照“坚决控、重点防、着力还、加速转、确保化”的原则，牢牢守住政府性债务红线、底线。截止目前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累计化解隐性债务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15965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万元，占隐性债务总额的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37%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，超出化债方案化解进度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13%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，超出省债务办调整后的考核进度（每年不低于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，至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年累计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）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8.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打赢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污染防治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攻坚战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安排资金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3657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万元对我区森林资源进行有效保护，确保森林资源的有效增长。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其中，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在森林防火、森林病虫害防治、退耕还林、原始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次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森林、古树名木、护林点林业消防应急通道建设等方面安排森林资源保护经费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1874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万元；安排景区风景资源补偿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费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688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万元；为搞好景区环境卫生，安排景区环卫保洁及后山三乡垃圾清运服务资金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1095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</w:t>
      </w:r>
    </w:p>
    <w:p w:rsidR="0034671E" w:rsidRPr="00374F65" w:rsidRDefault="00491AFE" w:rsidP="00374F65">
      <w:pPr>
        <w:pStyle w:val="4"/>
        <w:spacing w:before="0" w:after="0" w:line="580" w:lineRule="exact"/>
        <w:ind w:firstLineChars="200" w:firstLine="640"/>
        <w:rPr>
          <w:rFonts w:ascii="Times New Roman" w:eastAsia="方正仿宋简体" w:hAnsi="Times New Roman" w:cs="Times New Roman"/>
          <w:b w:val="0"/>
          <w:bCs w:val="0"/>
          <w:color w:val="000000" w:themeColor="text1"/>
          <w:kern w:val="2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Cs w:val="0"/>
          <w:color w:val="000000" w:themeColor="text1"/>
          <w:kern w:val="2"/>
          <w:sz w:val="32"/>
          <w:szCs w:val="32"/>
        </w:rPr>
        <w:t>9.</w:t>
      </w:r>
      <w:r w:rsidRPr="00374F65">
        <w:rPr>
          <w:rFonts w:ascii="Times New Roman" w:eastAsia="方正仿宋简体" w:hAnsi="Times New Roman" w:cs="Times New Roman" w:hint="eastAsia"/>
          <w:bCs w:val="0"/>
          <w:color w:val="000000" w:themeColor="text1"/>
          <w:kern w:val="2"/>
          <w:sz w:val="32"/>
          <w:szCs w:val="32"/>
        </w:rPr>
        <w:t>大力推进乡村振兴战略。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区级财政衔接乡村振兴资金中安排稻田复耕复种奖补资金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79.42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万元。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在乡村振兴资金中增加安排小型农田水利资金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300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万元。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安排耕地抛荒治理资金共计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224.22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万元，圆满完成上级安排南岳粮食早稻生产的耕地任务。今年安排下达乡村振兴补助资金共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2172.28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万元，其中：中央资金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754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万元，省级资金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527.68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万元，市级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lastRenderedPageBreak/>
        <w:t>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130.6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万元，区级配套资金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760</w:t>
      </w:r>
      <w:r w:rsidRPr="00374F65">
        <w:rPr>
          <w:rFonts w:ascii="Times New Roman" w:eastAsia="方正仿宋简体" w:hAnsi="Times New Roman" w:cs="Times New Roman" w:hint="eastAsia"/>
          <w:b w:val="0"/>
          <w:bCs w:val="0"/>
          <w:color w:val="000000" w:themeColor="text1"/>
          <w:kern w:val="2"/>
          <w:sz w:val="32"/>
          <w:szCs w:val="32"/>
        </w:rPr>
        <w:t>万。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）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强绩效、严监管，提升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财政管理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水平。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1.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严格预算执行。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牢固树立过“紧日子”思想，大力压减一般性支出，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年全区一般性支出较上年压减了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7.19 %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在当前财政收入增长缓慢、刚性支出持续攀升情况下，有保有压、突出重点，科学精准编制年度预算及调整方案，并在局门户网上公开本级财政总预算及汇总“三公”经费预算、各预算单位部门预算及“三公”经费预算。加紧盘活财政存量资金，组织业务股室对各单位零余额账户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年以上结转结余资金进行全面清理，收回各单位结转结余资金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683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万元。清理财政对外借款，根据欠款性质核销各单位历年欠款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084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2.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完善国库资金管理。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全面落实省市财政改革部署，有序推进预算一体化改革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月份全市率先完成支付模块安全上线，新旧系统无缝对接，实现基础数据采集、历史数据转化零差错。加强直达资金使用管理，实行“限时下达，优先支付”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全年下达直达资金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9056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万，支出金额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8691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万，支出进度达到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96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。今年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月份，将非税收入汇缴结算户、财政预算外资金专户、财政代管资金专户、社保专户等财政专户全部签订协议存款，活期资金年利率从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0.3%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提高到了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1.495%,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资金利息收入同比提高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3.98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倍。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今年，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以区政府名义制定下发了《南岳区财政专户资金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存放管理操作办法》（岳政办发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[2021]9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号）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通过引入价格竞争机制，定存利率优惠从基准利率上浮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提高到上浮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，资金收益提高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分点。</w:t>
      </w:r>
    </w:p>
    <w:p w:rsidR="0034671E" w:rsidRPr="00374F65" w:rsidRDefault="00491AFE" w:rsidP="00374F65">
      <w:pPr>
        <w:pStyle w:val="a6"/>
        <w:spacing w:before="0" w:beforeAutospacing="0" w:after="0" w:afterAutospacing="0" w:line="580" w:lineRule="exact"/>
        <w:ind w:firstLineChars="200" w:firstLine="640"/>
        <w:jc w:val="both"/>
        <w:textAlignment w:val="baseline"/>
        <w:rPr>
          <w:rFonts w:ascii="Times New Roman" w:eastAsia="方正仿宋简体" w:hAnsi="Times New Roman" w:cs="Times New Roman"/>
          <w:color w:val="000000" w:themeColor="text1"/>
          <w:kern w:val="2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kern w:val="2"/>
          <w:sz w:val="32"/>
          <w:szCs w:val="32"/>
        </w:rPr>
        <w:t>3.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kern w:val="2"/>
          <w:sz w:val="32"/>
          <w:szCs w:val="32"/>
        </w:rPr>
        <w:t>加强政府采购管理。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年，我区在湖南省政府采购电子卖场入驻单位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79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家，共完成交易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801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笔，交易额度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5011.72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万元，交易渗透率达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97.47%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。全年我区共完成限额以上政府采购项目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64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件，其中货物类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18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件，工程类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17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件，服务类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29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件，预算总金额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19338.41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万元，实际采购总金额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18368.51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万元，节约资金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969.89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万元，节支率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5%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。</w:t>
      </w:r>
    </w:p>
    <w:p w:rsidR="0034671E" w:rsidRPr="00374F65" w:rsidRDefault="00491AFE" w:rsidP="00374F65">
      <w:pPr>
        <w:pStyle w:val="a6"/>
        <w:spacing w:before="0" w:beforeAutospacing="0" w:after="0" w:afterAutospacing="0" w:line="580" w:lineRule="exact"/>
        <w:ind w:firstLineChars="200" w:firstLine="640"/>
        <w:jc w:val="both"/>
        <w:textAlignment w:val="baseline"/>
        <w:rPr>
          <w:rFonts w:ascii="Times New Roman" w:eastAsia="方正仿宋简体" w:hAnsi="Times New Roman" w:cs="Times New Roman"/>
          <w:color w:val="000000" w:themeColor="text1"/>
          <w:kern w:val="2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kern w:val="2"/>
          <w:sz w:val="32"/>
          <w:szCs w:val="32"/>
        </w:rPr>
        <w:t>4.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kern w:val="2"/>
          <w:sz w:val="32"/>
          <w:szCs w:val="32"/>
        </w:rPr>
        <w:t>加大投资评审力度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kern w:val="2"/>
          <w:sz w:val="32"/>
          <w:szCs w:val="32"/>
        </w:rPr>
        <w:t>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 xml:space="preserve"> 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年，财政投资评审服务中心完成预算、招标上限值、结算评审共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221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个，送审金额为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4.51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亿元，审减不合理支出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0.98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亿元，审定金额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3.53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亿元，审减率为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21.72%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kern w:val="2"/>
          <w:sz w:val="32"/>
          <w:szCs w:val="32"/>
        </w:rPr>
        <w:t>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5.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完善财政绩效评价和财政监督检查。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今年，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对全区所有单位首次全面组织了绩效目标申报、绩效运行监控、绩效自评，重点绩效评价首次扩展到投融资公司的融资领域。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8-12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月开展以会计信息质量、国有资产管理和内控制度为重点的财务检查，共查出违纪违规金额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11.91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根据省厅通知要求制定《关于印发南岳区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年会计和评估监督检查工作实施方案的通知》（岳财字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[2021]25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号），将单位内控、“互联网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+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监督”公开、预决算公开、国有资产管理、内控制度建立和执行、会计信息质量、津补贴规范治理等方面纳入了今年财政监督检查范围。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6.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严格规范国有资产管理。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进一步规范全区行政事业单位国有资产配置、使用、处置、出租出借等工作。全年共受理行政事业单位资产处置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29 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起，收缴资产处置收入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43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万元；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收缴行政事业单位国有资产出租收入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490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万元（含公租房廉租房租金）。切实做好行政事业单位公务用车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控购管理工作。对全区公车进行清查，年内共办理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台车辆购置审批，报废处置车辆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台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,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调剂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台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491AFE">
      <w:pPr>
        <w:widowControl/>
        <w:spacing w:line="600" w:lineRule="exact"/>
        <w:ind w:firstLineChars="200" w:firstLine="640"/>
        <w:jc w:val="left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四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374F65"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  <w:t>存在的问题及原因分析</w:t>
      </w:r>
    </w:p>
    <w:p w:rsidR="0034671E" w:rsidRPr="00374F65" w:rsidRDefault="00491AFE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通过前述对我厅整体支出情况的分析，反映出目前整体支出还存在一些问题和不足：</w:t>
      </w:r>
    </w:p>
    <w:p w:rsidR="0034671E" w:rsidRPr="00374F65" w:rsidRDefault="00491AFE">
      <w:pPr>
        <w:spacing w:line="580" w:lineRule="exact"/>
        <w:ind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1.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收支矛盾突出。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近年来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财政减收的因素很多，各种支出却还在刚性增长，一减一增，导致财政收支的“剪刀差”不断扩大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491AFE">
      <w:pPr>
        <w:spacing w:line="580" w:lineRule="exact"/>
        <w:ind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2.</w:t>
      </w: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资金使用绩效不高、部分支出钢化、固化。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项目重复建设、资金撒胡椒面、同类资金整合力度不够等现象仍然存在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财政资金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没有发挥出应有的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效益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374F65" w:rsidP="00374F65">
      <w:pPr>
        <w:widowControl/>
        <w:spacing w:line="600" w:lineRule="exact"/>
        <w:ind w:firstLineChars="150" w:firstLine="480"/>
        <w:jc w:val="left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五、</w:t>
      </w:r>
      <w:r w:rsidR="00491AFE" w:rsidRPr="00374F65"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  <w:t>下一步改进措施</w:t>
      </w:r>
    </w:p>
    <w:p w:rsidR="0034671E" w:rsidRPr="00374F65" w:rsidRDefault="00491AFE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针对上述存在的问题，拟采取以下改进措施：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一是加强收入征管，努力培植税源。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采取积极有效财税增收措施，深挖税收增长潜力。协调税务部门和非税收入部门形成工作合力，加强协税护税力度，堵塞征管漏洞，应收尽收。深入实施创新驱动发展战略，强化企业技术创新主体地位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优化营商环境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吸引更多的产业经济入驻，培育新的经济增长点。</w:t>
      </w:r>
    </w:p>
    <w:p w:rsidR="0034671E" w:rsidRPr="00374F65" w:rsidRDefault="00491AFE" w:rsidP="00374F65">
      <w:pPr>
        <w:widowControl/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二是优化支出结构，全力保障民生。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坚持集中财力办大事思维，紧紧围绕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区第八次党代会提出的“五更”发展目标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和区“十四五”规划纲要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，统筹整合资金，不断健全教育、文化、医疗卫生、社会保障等重点支出的保障机制，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通过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不断加强优化支出管理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来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促进我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区经济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高质量发展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34671E" w:rsidRPr="00374F65" w:rsidRDefault="00491AFE" w:rsidP="00374F65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374F65"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32"/>
        </w:rPr>
        <w:t>三是强化预算管理，提高资金绩效。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运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用财政预算管理一体化系统，提高财政资金支付效率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；积极盘活存量资金，强化专项资金管理，统筹使用各类财政资金，优先保障民生和重点项目支出；加强预算绩效管理，逐步扩大绩效评价范围，努力建立评价结果与反馈整改、预算安排相结合的激励约束机制；</w:t>
      </w:r>
      <w:r w:rsidRPr="00374F6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继续完善预决算公开机制，更好地接受社会监督。</w:t>
      </w:r>
    </w:p>
    <w:p w:rsidR="0034671E" w:rsidRPr="00374F65" w:rsidRDefault="0034671E">
      <w:pP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</w:p>
    <w:sectPr w:rsidR="0034671E" w:rsidRPr="00374F65" w:rsidSect="003467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1E" w:rsidRDefault="0034671E" w:rsidP="0034671E">
      <w:r>
        <w:separator/>
      </w:r>
    </w:p>
  </w:endnote>
  <w:endnote w:type="continuationSeparator" w:id="0">
    <w:p w:rsidR="0034671E" w:rsidRDefault="0034671E" w:rsidP="003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SimSun-ExtB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1E" w:rsidRDefault="0034671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4671E" w:rsidRDefault="0034671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91AF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91AF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1E" w:rsidRDefault="0034671E" w:rsidP="0034671E">
      <w:r>
        <w:separator/>
      </w:r>
    </w:p>
  </w:footnote>
  <w:footnote w:type="continuationSeparator" w:id="0">
    <w:p w:rsidR="0034671E" w:rsidRDefault="0034671E" w:rsidP="0034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E70F6C"/>
    <w:rsid w:val="0034671E"/>
    <w:rsid w:val="00374F65"/>
    <w:rsid w:val="00491AFE"/>
    <w:rsid w:val="3DE70F6C"/>
    <w:rsid w:val="63435DAB"/>
    <w:rsid w:val="6C01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4671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semiHidden/>
    <w:qFormat/>
    <w:rsid w:val="0034671E"/>
    <w:pPr>
      <w:snapToGrid w:val="0"/>
      <w:jc w:val="left"/>
    </w:pPr>
    <w:rPr>
      <w:sz w:val="18"/>
    </w:rPr>
  </w:style>
  <w:style w:type="paragraph" w:styleId="2">
    <w:name w:val="Body Text First Indent 2"/>
    <w:basedOn w:val="a4"/>
    <w:qFormat/>
    <w:rsid w:val="0034671E"/>
    <w:pPr>
      <w:spacing w:after="0"/>
      <w:ind w:leftChars="0" w:left="0" w:firstLineChars="200" w:firstLine="420"/>
    </w:pPr>
    <w:rPr>
      <w:sz w:val="30"/>
    </w:rPr>
  </w:style>
  <w:style w:type="paragraph" w:styleId="a4">
    <w:name w:val="Body Text Indent"/>
    <w:basedOn w:val="a"/>
    <w:uiPriority w:val="99"/>
    <w:unhideWhenUsed/>
    <w:qFormat/>
    <w:rsid w:val="0034671E"/>
    <w:pPr>
      <w:spacing w:after="120"/>
      <w:ind w:leftChars="200" w:left="420"/>
    </w:pPr>
  </w:style>
  <w:style w:type="paragraph" w:styleId="a5">
    <w:name w:val="footer"/>
    <w:basedOn w:val="a"/>
    <w:qFormat/>
    <w:rsid w:val="003467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rsid w:val="003467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标4"/>
    <w:basedOn w:val="a"/>
    <w:uiPriority w:val="99"/>
    <w:qFormat/>
    <w:rsid w:val="0034671E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character" w:customStyle="1" w:styleId="ca-0">
    <w:name w:val="ca-0"/>
    <w:basedOn w:val="a1"/>
    <w:qFormat/>
    <w:rsid w:val="00346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5435</Words>
  <Characters>534</Characters>
  <Application>Microsoft Office Word</Application>
  <DocSecurity>0</DocSecurity>
  <Lines>4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衡阳市南岳区交警队</dc:creator>
  <cp:lastModifiedBy>xbany</cp:lastModifiedBy>
  <cp:revision>3</cp:revision>
  <dcterms:created xsi:type="dcterms:W3CDTF">2022-01-27T01:53:00Z</dcterms:created>
  <dcterms:modified xsi:type="dcterms:W3CDTF">2022-08-10T11:07:00Z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48AF228EF32149D89102FA0EFC6E27A7</vt:lpwstr>
  </property>
</Properties>
</file>