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南岳区青少年校外活动中心</w:t>
      </w:r>
    </w:p>
    <w:p>
      <w:pPr>
        <w:widowControl/>
        <w:jc w:val="center"/>
        <w:rPr>
          <w:rFonts w:eastAsia="方正小标宋_GBK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2021年度部门整体支出绩效评价报告</w:t>
      </w:r>
    </w:p>
    <w:p>
      <w:pPr>
        <w:spacing w:line="600" w:lineRule="exact"/>
        <w:ind w:firstLine="64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根据《中共中央国务院关于全面实施预算绩效管理的意见》的文件精神，</w:t>
      </w:r>
      <w:r>
        <w:rPr>
          <w:rFonts w:hint="eastAsia" w:eastAsia="仿宋_GB2312"/>
          <w:sz w:val="32"/>
          <w:szCs w:val="32"/>
          <w:lang w:eastAsia="zh-CN"/>
        </w:rPr>
        <w:t>我中心</w:t>
      </w:r>
      <w:r>
        <w:rPr>
          <w:rFonts w:eastAsia="仿宋_GB2312"/>
          <w:sz w:val="32"/>
          <w:szCs w:val="32"/>
        </w:rPr>
        <w:t>对部门整体支出进行了绩效评价，现报告如下：</w:t>
      </w:r>
    </w:p>
    <w:p>
      <w:pPr>
        <w:ind w:firstLine="640" w:firstLineChars="200"/>
        <w:rPr>
          <w:rFonts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一、部门（单位）基本情况</w:t>
      </w:r>
    </w:p>
    <w:p>
      <w:pPr>
        <w:widowControl/>
        <w:spacing w:line="600" w:lineRule="exact"/>
        <w:ind w:firstLine="630" w:firstLineChars="196"/>
        <w:jc w:val="left"/>
        <w:rPr>
          <w:rFonts w:eastAsia="楷体_GB2312"/>
          <w:b/>
          <w:snapToGrid w:val="0"/>
          <w:kern w:val="0"/>
          <w:sz w:val="32"/>
          <w:szCs w:val="32"/>
        </w:rPr>
      </w:pPr>
      <w:r>
        <w:rPr>
          <w:rFonts w:eastAsia="楷体_GB2312"/>
          <w:b/>
          <w:snapToGrid w:val="0"/>
          <w:kern w:val="0"/>
          <w:sz w:val="32"/>
          <w:szCs w:val="32"/>
        </w:rPr>
        <w:t>（一）部门职能职责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1.职能职责</w:t>
      </w:r>
    </w:p>
    <w:p>
      <w:pPr>
        <w:pStyle w:val="4"/>
        <w:shd w:val="clear" w:color="auto" w:fill="FFFFFF"/>
        <w:spacing w:before="0" w:beforeAutospacing="0" w:after="120" w:afterAutospacing="0"/>
        <w:ind w:firstLine="480"/>
        <w:rPr>
          <w:rFonts w:hint="eastAsia" w:ascii="仿宋_GB2312" w:hAnsi="Times New Roman" w:eastAsia="仿宋_GB2312" w:cs="Times New Roman"/>
          <w:kern w:val="2"/>
          <w:sz w:val="30"/>
          <w:szCs w:val="30"/>
        </w:rPr>
      </w:pPr>
      <w:r>
        <w:rPr>
          <w:rFonts w:hint="eastAsia" w:ascii="仿宋_GB2312" w:hAnsi="Times New Roman" w:eastAsia="仿宋_GB2312" w:cs="Times New Roman"/>
          <w:kern w:val="2"/>
          <w:sz w:val="30"/>
          <w:szCs w:val="30"/>
        </w:rPr>
        <w:t>（</w:t>
      </w:r>
      <w:r>
        <w:rPr>
          <w:rFonts w:ascii="仿宋_GB2312" w:hAnsi="Times New Roman" w:eastAsia="仿宋_GB2312" w:cs="Times New Roman"/>
          <w:kern w:val="2"/>
          <w:sz w:val="30"/>
          <w:szCs w:val="30"/>
        </w:rPr>
        <w:t>1）青少年素质培训；</w:t>
      </w:r>
    </w:p>
    <w:p>
      <w:pPr>
        <w:pStyle w:val="4"/>
        <w:shd w:val="clear" w:color="auto" w:fill="FFFFFF"/>
        <w:spacing w:before="0" w:beforeAutospacing="0" w:after="120" w:afterAutospacing="0"/>
        <w:ind w:firstLine="480"/>
        <w:rPr>
          <w:rFonts w:hint="eastAsia" w:ascii="仿宋_GB2312" w:hAnsi="Times New Roman" w:eastAsia="仿宋_GB2312" w:cs="Times New Roman"/>
          <w:kern w:val="2"/>
          <w:sz w:val="30"/>
          <w:szCs w:val="30"/>
        </w:rPr>
      </w:pPr>
      <w:r>
        <w:rPr>
          <w:rFonts w:ascii="仿宋_GB2312" w:hAnsi="Times New Roman" w:eastAsia="仿宋_GB2312" w:cs="Times New Roman"/>
          <w:kern w:val="2"/>
          <w:sz w:val="30"/>
          <w:szCs w:val="30"/>
        </w:rPr>
        <w:t>（2）青少年能力提升。</w:t>
      </w:r>
    </w:p>
    <w:p>
      <w:pPr>
        <w:widowControl/>
        <w:spacing w:line="600" w:lineRule="exact"/>
        <w:ind w:firstLine="630" w:firstLineChars="196"/>
        <w:jc w:val="left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（二）机构设置情况</w:t>
      </w:r>
    </w:p>
    <w:p>
      <w:pPr>
        <w:spacing w:line="600" w:lineRule="exact"/>
        <w:ind w:firstLine="645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2021年末</w:t>
      </w:r>
      <w:r>
        <w:rPr>
          <w:rFonts w:eastAsia="仿宋_GB2312"/>
          <w:sz w:val="32"/>
          <w:szCs w:val="32"/>
        </w:rPr>
        <w:t>，南岳区青少年校外活动中心是全额拨款的事业单位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根据编办核定，我中心内设股室1个，分别是办公室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（三）人员编制情况</w:t>
      </w:r>
    </w:p>
    <w:p>
      <w:pPr>
        <w:spacing w:line="600" w:lineRule="exact"/>
        <w:ind w:firstLine="645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核定编制人数3人，其中：行政编制0人，全额事业编制3人，差额事业编制0人，自收自支事业编制0人，2021年末实际在岗在编人数3人，退休人员0人，临聘人员4人</w:t>
      </w:r>
    </w:p>
    <w:p>
      <w:pPr>
        <w:widowControl/>
        <w:numPr>
          <w:ilvl w:val="0"/>
          <w:numId w:val="1"/>
        </w:num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一般公共预算支出情况</w:t>
      </w:r>
    </w:p>
    <w:p>
      <w:pPr>
        <w:widowControl/>
        <w:spacing w:line="600" w:lineRule="exact"/>
        <w:ind w:firstLine="643" w:firstLineChars="200"/>
        <w:rPr>
          <w:rFonts w:ascii="楷体_GB2312" w:hAnsi="Times New Roman" w:eastAsia="楷体_GB2312" w:cs="Times New Roman"/>
          <w:b/>
          <w:sz w:val="32"/>
          <w:szCs w:val="32"/>
        </w:rPr>
      </w:pPr>
      <w:r>
        <w:rPr>
          <w:rFonts w:hint="eastAsia" w:ascii="楷体_GB2312" w:hAnsi="Times New Roman" w:eastAsia="楷体_GB2312" w:cs="Times New Roman"/>
          <w:b/>
          <w:sz w:val="32"/>
          <w:szCs w:val="32"/>
        </w:rPr>
        <w:t>（一）基本支出情况</w:t>
      </w:r>
    </w:p>
    <w:p>
      <w:pPr>
        <w:tabs>
          <w:tab w:val="left" w:pos="2296"/>
        </w:tabs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基本支出系保障</w:t>
      </w:r>
      <w:r>
        <w:rPr>
          <w:rFonts w:hint="eastAsia" w:eastAsia="仿宋_GB2312"/>
          <w:sz w:val="32"/>
          <w:szCs w:val="32"/>
          <w:lang w:eastAsia="zh-CN"/>
        </w:rPr>
        <w:t>我中心</w:t>
      </w:r>
      <w:r>
        <w:rPr>
          <w:rFonts w:eastAsia="仿宋_GB2312"/>
          <w:sz w:val="32"/>
          <w:szCs w:val="32"/>
        </w:rPr>
        <w:t>机构正常运转、完成日常工作任务而发生的各项支出，包括用于在职和离退休人员基本工资、津贴补贴等人员经费以及办公费、印刷费、水电费、办公设备购置等日常公用经费。</w:t>
      </w:r>
      <w:r>
        <w:rPr>
          <w:rFonts w:hint="eastAsia" w:eastAsia="仿宋_GB2312"/>
          <w:sz w:val="32"/>
          <w:szCs w:val="32"/>
        </w:rPr>
        <w:t>2021年</w:t>
      </w:r>
      <w:r>
        <w:rPr>
          <w:rFonts w:eastAsia="仿宋_GB2312"/>
          <w:sz w:val="32"/>
          <w:szCs w:val="32"/>
        </w:rPr>
        <w:t>基本支出</w:t>
      </w:r>
      <w:r>
        <w:rPr>
          <w:rFonts w:hint="eastAsia" w:eastAsia="仿宋_GB2312"/>
          <w:sz w:val="32"/>
          <w:szCs w:val="32"/>
        </w:rPr>
        <w:t>54.90</w:t>
      </w:r>
      <w:r>
        <w:rPr>
          <w:rFonts w:eastAsia="仿宋_GB2312"/>
          <w:sz w:val="32"/>
          <w:szCs w:val="32"/>
        </w:rPr>
        <w:t>万元，较上年</w:t>
      </w:r>
      <w:r>
        <w:rPr>
          <w:rFonts w:hint="eastAsia" w:eastAsia="仿宋_GB2312"/>
          <w:sz w:val="32"/>
          <w:szCs w:val="32"/>
        </w:rPr>
        <w:t>51.96万元增加2.93</w:t>
      </w:r>
      <w:r>
        <w:rPr>
          <w:rFonts w:eastAsia="仿宋_GB2312"/>
          <w:sz w:val="32"/>
          <w:szCs w:val="32"/>
        </w:rPr>
        <w:t>万元。</w:t>
      </w:r>
      <w:r>
        <w:rPr>
          <w:rFonts w:eastAsia="仿宋_GB2312"/>
          <w:color w:val="000000"/>
          <w:sz w:val="32"/>
          <w:szCs w:val="32"/>
        </w:rPr>
        <w:t>基本支出中人员经费</w:t>
      </w:r>
      <w:r>
        <w:rPr>
          <w:rFonts w:hint="eastAsia" w:eastAsia="仿宋_GB2312"/>
          <w:color w:val="000000"/>
          <w:sz w:val="32"/>
          <w:szCs w:val="32"/>
        </w:rPr>
        <w:t>51.60</w:t>
      </w:r>
      <w:r>
        <w:rPr>
          <w:rFonts w:eastAsia="仿宋_GB2312"/>
          <w:color w:val="000000"/>
          <w:sz w:val="32"/>
          <w:szCs w:val="32"/>
        </w:rPr>
        <w:t>万元，占基本支出的</w:t>
      </w:r>
      <w:r>
        <w:rPr>
          <w:rFonts w:hint="eastAsia" w:eastAsia="仿宋_GB2312"/>
          <w:color w:val="000000"/>
          <w:sz w:val="32"/>
          <w:szCs w:val="32"/>
        </w:rPr>
        <w:t>94.00</w:t>
      </w:r>
      <w:r>
        <w:rPr>
          <w:rFonts w:eastAsia="仿宋_GB2312"/>
          <w:color w:val="000000"/>
          <w:sz w:val="32"/>
          <w:szCs w:val="32"/>
        </w:rPr>
        <w:t>%，</w:t>
      </w:r>
      <w:r>
        <w:rPr>
          <w:rFonts w:hint="eastAsia" w:eastAsia="仿宋_GB2312"/>
          <w:color w:val="000000"/>
          <w:sz w:val="32"/>
          <w:szCs w:val="32"/>
        </w:rPr>
        <w:t>与上年47.43万元基本持平；</w:t>
      </w:r>
      <w:r>
        <w:rPr>
          <w:rFonts w:eastAsia="仿宋_GB2312"/>
          <w:color w:val="000000"/>
          <w:sz w:val="32"/>
          <w:szCs w:val="32"/>
        </w:rPr>
        <w:t>日常公用经费</w:t>
      </w:r>
      <w:r>
        <w:rPr>
          <w:rFonts w:hint="eastAsia" w:eastAsia="仿宋_GB2312"/>
          <w:color w:val="000000"/>
          <w:sz w:val="32"/>
          <w:szCs w:val="32"/>
        </w:rPr>
        <w:t>3.30</w:t>
      </w:r>
      <w:r>
        <w:rPr>
          <w:rFonts w:eastAsia="仿宋_GB2312"/>
          <w:color w:val="000000"/>
          <w:sz w:val="32"/>
          <w:szCs w:val="32"/>
        </w:rPr>
        <w:t>万元，占基本支出的</w:t>
      </w:r>
      <w:r>
        <w:rPr>
          <w:rFonts w:hint="eastAsia" w:eastAsia="仿宋_GB2312"/>
          <w:color w:val="000000"/>
          <w:sz w:val="32"/>
          <w:szCs w:val="32"/>
        </w:rPr>
        <w:t>6.0</w:t>
      </w:r>
      <w:r>
        <w:rPr>
          <w:rFonts w:eastAsia="仿宋_GB2312"/>
          <w:color w:val="000000"/>
          <w:sz w:val="32"/>
          <w:szCs w:val="32"/>
        </w:rPr>
        <w:t>%，较上年</w:t>
      </w:r>
      <w:r>
        <w:rPr>
          <w:rFonts w:hint="eastAsia" w:eastAsia="仿宋_GB2312"/>
          <w:color w:val="000000"/>
          <w:sz w:val="32"/>
          <w:szCs w:val="32"/>
        </w:rPr>
        <w:t>4.52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万元</w:t>
      </w:r>
      <w:r>
        <w:rPr>
          <w:rFonts w:hint="eastAsia" w:eastAsia="仿宋_GB2312"/>
          <w:color w:val="000000"/>
          <w:sz w:val="32"/>
          <w:szCs w:val="32"/>
        </w:rPr>
        <w:t>减少1.22万元与上年基本持平，主要原因是受疫情影响和压减非重点、刚性支出要求，我单位厉行节约、严格把关，严控三公经费支出，大力压减公用经费支出。</w:t>
      </w:r>
    </w:p>
    <w:p>
      <w:pPr>
        <w:widowControl/>
        <w:spacing w:line="600" w:lineRule="exact"/>
        <w:ind w:firstLine="643" w:firstLineChars="200"/>
        <w:rPr>
          <w:rFonts w:ascii="楷体_GB2312" w:hAnsi="Times New Roman" w:eastAsia="楷体_GB2312" w:cs="Times New Roman"/>
          <w:b/>
          <w:sz w:val="32"/>
          <w:szCs w:val="32"/>
        </w:rPr>
      </w:pPr>
      <w:r>
        <w:rPr>
          <w:rFonts w:hint="eastAsia" w:ascii="楷体_GB2312" w:hAnsi="Times New Roman" w:eastAsia="楷体_GB2312" w:cs="Times New Roman"/>
          <w:b/>
          <w:sz w:val="32"/>
          <w:szCs w:val="32"/>
        </w:rPr>
        <w:t>（二）</w:t>
      </w:r>
      <w:r>
        <w:rPr>
          <w:rFonts w:ascii="楷体_GB2312" w:hAnsi="Times New Roman" w:eastAsia="楷体_GB2312" w:cs="Times New Roman"/>
          <w:b/>
          <w:sz w:val="32"/>
          <w:szCs w:val="32"/>
        </w:rPr>
        <w:t>项目支出情况</w:t>
      </w:r>
    </w:p>
    <w:p>
      <w:pPr>
        <w:tabs>
          <w:tab w:val="left" w:pos="2296"/>
        </w:tabs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eastAsia="仿宋_GB2312"/>
          <w:sz w:val="32"/>
          <w:szCs w:val="32"/>
        </w:rPr>
        <w:t>项目支出系</w:t>
      </w:r>
      <w:bookmarkStart w:id="0" w:name="_GoBack"/>
      <w:bookmarkEnd w:id="0"/>
      <w:r>
        <w:rPr>
          <w:rFonts w:hint="eastAsia" w:eastAsia="仿宋_GB2312"/>
          <w:sz w:val="32"/>
          <w:szCs w:val="32"/>
          <w:lang w:eastAsia="zh-CN"/>
        </w:rPr>
        <w:t>我中心</w:t>
      </w:r>
      <w:r>
        <w:rPr>
          <w:rFonts w:eastAsia="仿宋_GB2312"/>
          <w:sz w:val="32"/>
          <w:szCs w:val="32"/>
        </w:rPr>
        <w:t>为完成</w:t>
      </w:r>
      <w:r>
        <w:rPr>
          <w:rFonts w:hint="eastAsia" w:eastAsia="仿宋_GB2312"/>
          <w:sz w:val="32"/>
          <w:szCs w:val="32"/>
        </w:rPr>
        <w:t>教育教学管理</w:t>
      </w:r>
      <w:r>
        <w:rPr>
          <w:rFonts w:eastAsia="仿宋_GB2312"/>
          <w:sz w:val="32"/>
          <w:szCs w:val="32"/>
        </w:rPr>
        <w:t>工作而发生的支出，包括行业务工作经费和运行维护经费。业务工作经费支出主要用于</w:t>
      </w:r>
      <w:r>
        <w:rPr>
          <w:rFonts w:hint="eastAsia" w:eastAsia="仿宋_GB2312"/>
          <w:sz w:val="32"/>
          <w:szCs w:val="32"/>
        </w:rPr>
        <w:t>教育教学管理</w:t>
      </w:r>
      <w:r>
        <w:rPr>
          <w:rFonts w:eastAsia="仿宋_GB2312"/>
          <w:sz w:val="32"/>
          <w:szCs w:val="32"/>
        </w:rPr>
        <w:t>等方面。</w:t>
      </w:r>
      <w:r>
        <w:rPr>
          <w:rFonts w:hint="eastAsia" w:eastAsia="仿宋_GB2312"/>
          <w:sz w:val="32"/>
          <w:szCs w:val="32"/>
        </w:rPr>
        <w:t>2021年</w:t>
      </w:r>
      <w:r>
        <w:rPr>
          <w:rFonts w:eastAsia="仿宋_GB2312"/>
          <w:sz w:val="32"/>
          <w:szCs w:val="32"/>
        </w:rPr>
        <w:t>项目支出</w:t>
      </w:r>
      <w:r>
        <w:rPr>
          <w:rFonts w:hint="eastAsia"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万元，比上年</w:t>
      </w:r>
      <w:r>
        <w:rPr>
          <w:rFonts w:hint="eastAsia" w:eastAsia="仿宋_GB2312"/>
          <w:sz w:val="32"/>
          <w:szCs w:val="32"/>
        </w:rPr>
        <w:t>0万元增加0</w:t>
      </w:r>
      <w:r>
        <w:rPr>
          <w:rFonts w:eastAsia="仿宋_GB2312"/>
          <w:sz w:val="32"/>
          <w:szCs w:val="32"/>
        </w:rPr>
        <w:t>万元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其中业务工作经费支出</w:t>
      </w:r>
      <w:r>
        <w:rPr>
          <w:rFonts w:hint="eastAsia"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万元，比上年</w:t>
      </w:r>
      <w:r>
        <w:rPr>
          <w:rFonts w:hint="eastAsia" w:eastAsia="仿宋_GB2312"/>
          <w:sz w:val="32"/>
          <w:szCs w:val="32"/>
        </w:rPr>
        <w:t>减少0</w:t>
      </w:r>
      <w:r>
        <w:rPr>
          <w:rFonts w:eastAsia="仿宋_GB2312"/>
          <w:sz w:val="32"/>
          <w:szCs w:val="32"/>
        </w:rPr>
        <w:t>万元，主要是</w:t>
      </w:r>
      <w:r>
        <w:rPr>
          <w:rFonts w:hint="eastAsia" w:eastAsia="仿宋_GB2312"/>
          <w:sz w:val="32"/>
          <w:szCs w:val="32"/>
        </w:rPr>
        <w:t>压缩一般性支出</w:t>
      </w:r>
      <w:r>
        <w:rPr>
          <w:rFonts w:eastAsia="仿宋_GB2312"/>
          <w:sz w:val="32"/>
          <w:szCs w:val="32"/>
        </w:rPr>
        <w:t>；运行维护经费支出</w:t>
      </w:r>
      <w:r>
        <w:rPr>
          <w:rFonts w:hint="eastAsia"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万元，比上年</w:t>
      </w:r>
      <w:r>
        <w:rPr>
          <w:rFonts w:hint="eastAsia" w:eastAsia="仿宋_GB2312"/>
          <w:sz w:val="32"/>
          <w:szCs w:val="32"/>
        </w:rPr>
        <w:t>增加0</w:t>
      </w:r>
      <w:r>
        <w:rPr>
          <w:rFonts w:eastAsia="仿宋_GB2312"/>
          <w:sz w:val="32"/>
          <w:szCs w:val="32"/>
        </w:rPr>
        <w:t>万元，</w:t>
      </w:r>
      <w:r>
        <w:rPr>
          <w:rFonts w:hint="eastAsia" w:eastAsia="仿宋_GB2312"/>
          <w:sz w:val="32"/>
          <w:szCs w:val="32"/>
        </w:rPr>
        <w:t>增加0</w:t>
      </w:r>
      <w:r>
        <w:rPr>
          <w:rFonts w:eastAsia="仿宋_GB2312"/>
          <w:sz w:val="32"/>
          <w:szCs w:val="32"/>
        </w:rPr>
        <w:t>%，主要是</w:t>
      </w:r>
      <w:r>
        <w:rPr>
          <w:rFonts w:hint="eastAsia" w:eastAsia="仿宋_GB2312"/>
          <w:sz w:val="32"/>
          <w:szCs w:val="32"/>
        </w:rPr>
        <w:t>本单位无项目支出。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三、</w:t>
      </w:r>
      <w:r>
        <w:rPr>
          <w:rFonts w:ascii="Times New Roman" w:hAnsi="Times New Roman" w:eastAsia="黑体" w:cs="Times New Roman"/>
          <w:sz w:val="32"/>
          <w:szCs w:val="32"/>
          <w:highlight w:val="yellow"/>
        </w:rPr>
        <w:t>部门整体支出绩效情况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四、</w:t>
      </w:r>
      <w:r>
        <w:rPr>
          <w:rFonts w:ascii="Times New Roman" w:hAnsi="Times New Roman" w:eastAsia="黑体" w:cs="Times New Roman"/>
          <w:sz w:val="32"/>
          <w:szCs w:val="32"/>
        </w:rPr>
        <w:t>存在的问题及原因分析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通过前述对</w:t>
      </w:r>
      <w:r>
        <w:rPr>
          <w:rFonts w:hint="eastAsia" w:eastAsia="仿宋_GB2312"/>
          <w:sz w:val="32"/>
          <w:szCs w:val="32"/>
          <w:lang w:eastAsia="zh-CN"/>
        </w:rPr>
        <w:t>我中心</w:t>
      </w:r>
      <w:r>
        <w:rPr>
          <w:rFonts w:eastAsia="仿宋_GB2312"/>
          <w:sz w:val="32"/>
          <w:szCs w:val="32"/>
        </w:rPr>
        <w:t>整体支出情况的分析，反映出目前整体支出主要在预算执行方面还存在一些问题和不足：</w:t>
      </w:r>
    </w:p>
    <w:p>
      <w:pPr>
        <w:spacing w:line="600" w:lineRule="exact"/>
        <w:ind w:firstLine="643" w:firstLineChars="200"/>
        <w:rPr>
          <w:rFonts w:ascii="Calibri" w:hAnsi="Calibri" w:eastAsia="楷体_GB2312" w:cs="Times New Roman"/>
          <w:b/>
          <w:sz w:val="32"/>
          <w:szCs w:val="32"/>
        </w:rPr>
      </w:pPr>
      <w:r>
        <w:rPr>
          <w:rFonts w:hint="eastAsia" w:ascii="Calibri" w:hAnsi="Calibri" w:eastAsia="楷体_GB2312" w:cs="Times New Roman"/>
          <w:b/>
          <w:sz w:val="32"/>
          <w:szCs w:val="32"/>
        </w:rPr>
        <w:t>（一）部分项目完成度有待提升。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由于疫情冲击影响的客观因素，以及牢固树立过紧日子思想，主动压缩非重点、刚性支出的主观因素，导致部分预算项目如培训费预算执行情况不理想，其中培训费实际支付进度为0% 。我们将在</w:t>
      </w:r>
      <w:r>
        <w:rPr>
          <w:rFonts w:eastAsia="仿宋_GB2312"/>
          <w:sz w:val="32"/>
          <w:szCs w:val="32"/>
        </w:rPr>
        <w:t>下年加以重视，</w:t>
      </w:r>
      <w:r>
        <w:rPr>
          <w:rFonts w:hint="eastAsia" w:eastAsia="仿宋_GB2312"/>
          <w:sz w:val="32"/>
          <w:szCs w:val="32"/>
        </w:rPr>
        <w:t>提前谋划，科学编制项目预算，进一步提高预算编制的精确性。</w:t>
      </w:r>
    </w:p>
    <w:p>
      <w:pPr>
        <w:spacing w:line="600" w:lineRule="exact"/>
        <w:ind w:firstLine="643" w:firstLineChars="200"/>
        <w:rPr>
          <w:rFonts w:ascii="Calibri" w:hAnsi="Calibri" w:eastAsia="楷体_GB2312" w:cs="Times New Roman"/>
          <w:b/>
          <w:sz w:val="32"/>
          <w:szCs w:val="32"/>
        </w:rPr>
      </w:pPr>
      <w:r>
        <w:rPr>
          <w:rFonts w:hint="eastAsia" w:ascii="Calibri" w:hAnsi="Calibri" w:eastAsia="楷体_GB2312" w:cs="Times New Roman"/>
          <w:b/>
          <w:sz w:val="32"/>
          <w:szCs w:val="32"/>
        </w:rPr>
        <w:t>（二）部分项目实施与预算执行存在脱节。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受疫情影响，部分项目启动较晚，实施周期相对较长，导致项目验收晚，预算执行进度偏慢，相对比较集中。我们将在下年予以重视，督促项目实施单位早启动、早实施、早验收，对符合条件的项目按照项目进度支付相关款项。</w:t>
      </w:r>
    </w:p>
    <w:p>
      <w:pPr>
        <w:widowControl/>
        <w:numPr>
          <w:ilvl w:val="0"/>
          <w:numId w:val="2"/>
        </w:numPr>
        <w:spacing w:line="60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下一步改进措施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针对上述存在的问题，拟采取以下改进措施：</w:t>
      </w:r>
    </w:p>
    <w:p>
      <w:pPr>
        <w:widowControl/>
        <w:spacing w:line="600" w:lineRule="exact"/>
        <w:ind w:firstLine="640" w:firstLineChars="200"/>
        <w:jc w:val="left"/>
        <w:rPr>
          <w:rFonts w:ascii="宋体" w:hAnsi="宋体" w:eastAsia="宋体" w:cs="宋体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强化预算管理，定期开展预算执行分析。</w:t>
      </w:r>
      <w:r>
        <w:rPr>
          <w:rFonts w:hint="eastAsia" w:eastAsia="仿宋_GB2312"/>
          <w:sz w:val="32"/>
          <w:szCs w:val="32"/>
        </w:rPr>
        <w:t>通过定期对项目实施和预算执行情况进行梳理，及时掌握项目进度，督促项目实施单位早启动、早实施、早验收，对符合条件的项目按照项目进度支付相关款项，将预算资金管理贯穿于项目实施全过程中。对未启动项目及时分析原因，根据资金使用情况调整下年预算安排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3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639CCF1"/>
    <w:multiLevelType w:val="singleLevel"/>
    <w:tmpl w:val="F639CCF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92A871F"/>
    <w:multiLevelType w:val="singleLevel"/>
    <w:tmpl w:val="692A871F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8E06247"/>
    <w:rsid w:val="0014496F"/>
    <w:rsid w:val="001E0D38"/>
    <w:rsid w:val="003A648F"/>
    <w:rsid w:val="00485D18"/>
    <w:rsid w:val="00675B63"/>
    <w:rsid w:val="006C2022"/>
    <w:rsid w:val="00881676"/>
    <w:rsid w:val="00982E1D"/>
    <w:rsid w:val="00D544E7"/>
    <w:rsid w:val="00E359B8"/>
    <w:rsid w:val="00F34422"/>
    <w:rsid w:val="00FD0FCE"/>
    <w:rsid w:val="03736933"/>
    <w:rsid w:val="149B2A0B"/>
    <w:rsid w:val="20E67351"/>
    <w:rsid w:val="21206552"/>
    <w:rsid w:val="28606852"/>
    <w:rsid w:val="29EF7861"/>
    <w:rsid w:val="30BE2A8F"/>
    <w:rsid w:val="3BDE5635"/>
    <w:rsid w:val="429F3322"/>
    <w:rsid w:val="43102595"/>
    <w:rsid w:val="4A1504A0"/>
    <w:rsid w:val="519D6176"/>
    <w:rsid w:val="52C14B04"/>
    <w:rsid w:val="55A02E49"/>
    <w:rsid w:val="58E06247"/>
    <w:rsid w:val="64A2122F"/>
    <w:rsid w:val="6713109A"/>
    <w:rsid w:val="67B42849"/>
    <w:rsid w:val="71BD756A"/>
    <w:rsid w:val="751B678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样式3"/>
    <w:basedOn w:val="1"/>
    <w:qFormat/>
    <w:uiPriority w:val="0"/>
    <w:rPr>
      <w:rFonts w:ascii="Times New Roman" w:hAnsi="Times New Roman" w:eastAsia="仿宋_GB2312" w:cs="Times New Roman"/>
      <w:spacing w:val="113"/>
      <w:sz w:val="32"/>
    </w:rPr>
  </w:style>
  <w:style w:type="paragraph" w:customStyle="1" w:styleId="8">
    <w:name w:val="样式4"/>
    <w:basedOn w:val="1"/>
    <w:qFormat/>
    <w:uiPriority w:val="0"/>
    <w:rPr>
      <w:rFonts w:ascii="Times New Roman" w:hAnsi="Times New Roman" w:eastAsia="仿宋_GB2312" w:cs="Times New Roman"/>
      <w:snapToGrid w:val="0"/>
      <w:spacing w:val="79"/>
      <w:sz w:val="32"/>
    </w:rPr>
  </w:style>
  <w:style w:type="paragraph" w:customStyle="1" w:styleId="9">
    <w:name w:val="样式6"/>
    <w:basedOn w:val="1"/>
    <w:qFormat/>
    <w:uiPriority w:val="0"/>
    <w:rPr>
      <w:rFonts w:ascii="Times New Roman" w:hAnsi="Times New Roman" w:eastAsia="仿宋_GB2312" w:cs="Times New Roman"/>
      <w:spacing w:val="57"/>
      <w:sz w:val="32"/>
    </w:rPr>
  </w:style>
  <w:style w:type="paragraph" w:styleId="10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188</Words>
  <Characters>1076</Characters>
  <Lines>8</Lines>
  <Paragraphs>2</Paragraphs>
  <TotalTime>59</TotalTime>
  <ScaleCrop>false</ScaleCrop>
  <LinksUpToDate>false</LinksUpToDate>
  <CharactersWithSpaces>1262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2020-10-27T13:06:00Z</dcterms:created>
  <dc:creator>Administrator</dc:creator>
  <cp:lastModifiedBy>小王子妈妈</cp:lastModifiedBy>
  <cp:lastPrinted>2021-12-03T03:27:00Z</cp:lastPrinted>
  <dcterms:modified xsi:type="dcterms:W3CDTF">2022-02-14T01:58:05Z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D27373B351B04E62B1AC2AFD34C9AEF2</vt:lpwstr>
  </property>
</Properties>
</file>