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hint="eastAsia" w:ascii="黑体" w:hAnsi="黑体" w:eastAsia="黑体" w:cs="黑体"/>
          <w:sz w:val="44"/>
          <w:szCs w:val="44"/>
          <w:lang w:val="en-US" w:eastAsia="zh-CN"/>
        </w:rPr>
      </w:pPr>
      <w:r>
        <w:rPr>
          <w:rFonts w:hint="eastAsia" w:ascii="黑体" w:hAnsi="黑体" w:eastAsia="黑体" w:cs="黑体"/>
          <w:sz w:val="44"/>
          <w:szCs w:val="44"/>
          <w:lang w:val="en-US" w:eastAsia="zh-CN"/>
        </w:rPr>
        <w:t>南岳区卫生健康局</w:t>
      </w:r>
    </w:p>
    <w:p>
      <w:pPr>
        <w:widowControl/>
        <w:jc w:val="center"/>
        <w:rPr>
          <w:rFonts w:hint="eastAsia" w:ascii="黑体" w:hAnsi="黑体" w:eastAsia="黑体" w:cs="黑体"/>
          <w:sz w:val="44"/>
          <w:szCs w:val="44"/>
        </w:rPr>
      </w:pPr>
      <w:r>
        <w:rPr>
          <w:rFonts w:hint="eastAsia" w:ascii="黑体" w:hAnsi="黑体" w:eastAsia="黑体" w:cs="黑体"/>
          <w:sz w:val="44"/>
          <w:szCs w:val="44"/>
        </w:rPr>
        <w:t>20</w:t>
      </w:r>
      <w:r>
        <w:rPr>
          <w:rFonts w:hint="eastAsia" w:ascii="黑体" w:hAnsi="黑体" w:eastAsia="黑体" w:cs="黑体"/>
          <w:sz w:val="44"/>
          <w:szCs w:val="44"/>
          <w:lang w:val="en-US" w:eastAsia="zh-CN"/>
        </w:rPr>
        <w:t>21</w:t>
      </w:r>
      <w:r>
        <w:rPr>
          <w:rFonts w:hint="eastAsia" w:ascii="黑体" w:hAnsi="黑体" w:eastAsia="黑体" w:cs="黑体"/>
          <w:sz w:val="44"/>
          <w:szCs w:val="44"/>
        </w:rPr>
        <w:t>年度部门整体支出绩效评价报告</w:t>
      </w:r>
    </w:p>
    <w:p>
      <w:pPr>
        <w:spacing w:line="600" w:lineRule="exact"/>
        <w:ind w:firstLine="645"/>
        <w:rPr>
          <w:rFonts w:eastAsia="仿宋_GB2312"/>
          <w:sz w:val="32"/>
          <w:szCs w:val="32"/>
        </w:rPr>
      </w:pPr>
      <w:r>
        <w:rPr>
          <w:rFonts w:eastAsia="仿宋_GB2312"/>
          <w:sz w:val="32"/>
          <w:szCs w:val="32"/>
        </w:rPr>
        <w:t>根据《中共中央 国务院关于全面实施预算绩效管理的意见》的文件精神，我</w:t>
      </w:r>
      <w:r>
        <w:rPr>
          <w:rFonts w:hint="eastAsia" w:eastAsia="仿宋_GB2312"/>
          <w:sz w:val="32"/>
          <w:szCs w:val="32"/>
          <w:lang w:val="en-US" w:eastAsia="zh-CN"/>
        </w:rPr>
        <w:t>局</w:t>
      </w:r>
      <w:r>
        <w:rPr>
          <w:rFonts w:eastAsia="仿宋_GB2312"/>
          <w:sz w:val="32"/>
          <w:szCs w:val="32"/>
        </w:rPr>
        <w:t>对部门整体支出进行了绩效评价，现报告如下：</w:t>
      </w:r>
    </w:p>
    <w:p>
      <w:pPr>
        <w:numPr>
          <w:ilvl w:val="0"/>
          <w:numId w:val="0"/>
        </w:numPr>
        <w:ind w:firstLine="640" w:firstLineChars="200"/>
        <w:rPr>
          <w:rFonts w:hint="eastAsia" w:ascii="黑体" w:hAnsi="Times New Roman" w:eastAsia="黑体" w:cs="Times New Roman"/>
          <w:sz w:val="32"/>
          <w:szCs w:val="32"/>
        </w:rPr>
      </w:pPr>
      <w:r>
        <w:rPr>
          <w:rFonts w:hint="eastAsia" w:ascii="黑体" w:hAnsi="Times New Roman" w:eastAsia="黑体" w:cs="Times New Roman"/>
          <w:sz w:val="32"/>
          <w:szCs w:val="32"/>
          <w:lang w:eastAsia="zh-CN"/>
        </w:rPr>
        <w:t>一、</w:t>
      </w:r>
      <w:r>
        <w:rPr>
          <w:rFonts w:hint="eastAsia" w:ascii="黑体" w:hAnsi="Times New Roman" w:eastAsia="黑体" w:cs="Times New Roman"/>
          <w:sz w:val="32"/>
          <w:szCs w:val="32"/>
        </w:rPr>
        <w:t>部门（单位）基本情况</w:t>
      </w:r>
    </w:p>
    <w:p>
      <w:pPr>
        <w:widowControl/>
        <w:spacing w:line="600" w:lineRule="exact"/>
        <w:ind w:firstLine="630" w:firstLineChars="196"/>
        <w:jc w:val="left"/>
        <w:rPr>
          <w:rFonts w:eastAsia="楷体_GB2312"/>
          <w:b/>
          <w:snapToGrid w:val="0"/>
          <w:kern w:val="0"/>
          <w:sz w:val="32"/>
          <w:szCs w:val="32"/>
        </w:rPr>
      </w:pPr>
      <w:r>
        <w:rPr>
          <w:rFonts w:hint="eastAsia" w:eastAsia="楷体_GB2312"/>
          <w:b/>
          <w:snapToGrid w:val="0"/>
          <w:kern w:val="0"/>
          <w:sz w:val="32"/>
          <w:szCs w:val="32"/>
          <w:lang w:val="en-US" w:eastAsia="zh-CN"/>
        </w:rPr>
        <w:t>一</w:t>
      </w:r>
      <w:r>
        <w:rPr>
          <w:rFonts w:eastAsia="楷体_GB2312"/>
          <w:b/>
          <w:snapToGrid w:val="0"/>
          <w:kern w:val="0"/>
          <w:sz w:val="32"/>
          <w:szCs w:val="32"/>
        </w:rPr>
        <w:t>部门职能职责</w:t>
      </w:r>
    </w:p>
    <w:p>
      <w:pPr>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一）贯彻执行国家、省、市卫生和计划生育工作的方针、政策和法律法规。拟订全区卫生和计划生育、中医药事业发展的政策和措施。负责协调推进全区医药卫生体制改革和医疗保障，统筹规划全区卫生和计划生育服务资源配置，指导区域卫生和计划生育规划的编制和实施。</w:t>
      </w:r>
    </w:p>
    <w:p>
      <w:pPr>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二）负责全区疾病预防控制规划、免疫规划、严重危害人民健康的公共卫生问题的干预措施并组织落实，制定全区卫生应急和紧急医学救援预案、突发公共卫生事件监测和风险评估计划，组织和指导全区突发公共卫生事件预防控制和各类突发公共事件的医疗卫生救援，收集上报法定传染病疫情信息、突发公共卫生事件应急处置信息。</w:t>
      </w:r>
    </w:p>
    <w:p>
      <w:pPr>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三）负责落实职责范围内的职业卫生、放射卫生、环境卫生、学校卫生、公共场所卫生、饮用水卫生管理规范和政策措施，组织开展相关监测、调查、评估和监督，负责传染病防治监督。组织开展食品安全风险监测、评估，负责食源性疾病及与食品安全事故有关的流行病学调查。</w:t>
      </w:r>
    </w:p>
    <w:p>
      <w:pPr>
        <w:spacing w:line="600" w:lineRule="exact"/>
        <w:ind w:firstLine="624" w:firstLineChars="200"/>
        <w:rPr>
          <w:rFonts w:hint="eastAsia" w:ascii="仿宋" w:hAnsi="仿宋" w:eastAsia="仿宋" w:cs="仿宋"/>
          <w:spacing w:val="-4"/>
          <w:sz w:val="32"/>
          <w:szCs w:val="32"/>
        </w:rPr>
      </w:pPr>
      <w:r>
        <w:rPr>
          <w:rFonts w:hint="eastAsia" w:ascii="仿宋" w:hAnsi="仿宋" w:eastAsia="仿宋" w:cs="仿宋"/>
          <w:spacing w:val="-4"/>
          <w:sz w:val="32"/>
          <w:szCs w:val="32"/>
        </w:rPr>
        <w:t>（四）负责组织拟订并实施基层卫生和计划生育服务、妇幼卫生发展规划和政策措施，指导全区基层卫生和计划生育、妇幼卫生服务体系建设，推进基本公共卫生和计划生育服务均等化，完善基层运行新机制和乡村医生管理制度。负责制定新型农村合作医疗发展规划和政策措施并组织实施，组织基金个人缴纳费用筹集和协调各级财政补助资金落实，负责全区农村合作医疗基金的监管与效益评估，负责定点医疗机构医疗费用控制。</w:t>
      </w:r>
    </w:p>
    <w:p>
      <w:pPr>
        <w:spacing w:line="600" w:lineRule="exact"/>
        <w:ind w:firstLine="640" w:firstLineChars="200"/>
        <w:rPr>
          <w:rFonts w:hint="eastAsia" w:ascii="仿宋" w:hAnsi="仿宋" w:eastAsia="仿宋" w:cs="仿宋"/>
          <w:sz w:val="32"/>
          <w:szCs w:val="32"/>
        </w:rPr>
      </w:pPr>
      <w:r>
        <w:rPr>
          <w:rFonts w:hint="eastAsia" w:ascii="仿宋" w:hAnsi="仿宋" w:eastAsia="仿宋" w:cs="仿宋"/>
          <w:color w:val="000000"/>
          <w:sz w:val="32"/>
          <w:szCs w:val="32"/>
        </w:rPr>
        <w:t>（五）</w:t>
      </w:r>
      <w:r>
        <w:rPr>
          <w:rFonts w:hint="eastAsia" w:ascii="仿宋" w:hAnsi="仿宋" w:eastAsia="仿宋" w:cs="仿宋"/>
          <w:sz w:val="32"/>
          <w:szCs w:val="32"/>
        </w:rPr>
        <w:t>负责制定医疗机构和医疗服务全行业管理办法并监督实施。制定医疗机构及其医疗服务、医疗技术、医疗质量、医疗安全的规范并组织实施。监督管理本区内的献血工作，负责本区内的采供血、医疗用血和采供血机构的监督管理。会同有关部门执行省、市卫生专业技术人员准入、资格标准，制定和实施卫生专业技术人员执业规划和服务规范，建立医疗机构运行监管和医疗服务评价体系。</w:t>
      </w:r>
    </w:p>
    <w:p>
      <w:pPr>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（六）负责组织推进公立医院改革，建立公益性为导向的绩效考核和评价运行机制，建设和谐医患关系，提出医疗服务和药品价格政策的建议。</w:t>
      </w:r>
    </w:p>
    <w:p>
      <w:pPr>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（七）实施国家药物政策和国家基本药物制度，执行国家基本药物目录，拟订全区基本药物采购、配送、使用的管理制度，提出全区基本药物价格政策的建议。</w:t>
      </w:r>
    </w:p>
    <w:p>
      <w:pPr>
        <w:spacing w:line="600" w:lineRule="exact"/>
        <w:ind w:firstLine="624" w:firstLineChars="200"/>
        <w:rPr>
          <w:rFonts w:hint="eastAsia" w:ascii="仿宋" w:hAnsi="仿宋" w:eastAsia="仿宋" w:cs="仿宋"/>
          <w:spacing w:val="-4"/>
          <w:sz w:val="32"/>
          <w:szCs w:val="32"/>
        </w:rPr>
      </w:pPr>
      <w:r>
        <w:rPr>
          <w:rFonts w:hint="eastAsia" w:ascii="仿宋" w:hAnsi="仿宋" w:eastAsia="仿宋" w:cs="仿宋"/>
          <w:spacing w:val="-4"/>
          <w:sz w:val="32"/>
          <w:szCs w:val="32"/>
        </w:rPr>
        <w:t>（八）组织实施加强全区出生人口性别比综合治理的政策措施，组织监测计划生育发展动态，提出发布计划生育安全预警预报信息建议。制定计划生育技术服务管理制度并监督实施。制定优生优育和提高出生人口素质的政策措施并组织实施。推动实施计划生育生殖健康促进计划，降低出生缺陷发生率。</w:t>
      </w:r>
    </w:p>
    <w:p>
      <w:pPr>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九）组织建立计划生育利益导向、计划生育特殊困难家庭扶助和促进计划生育家庭发展等机制。负责协调推进有关部门、群众团体履行计划生育工作相关职责，建立与经济社会发展政策的衔接机制，提出稳定低生育水平政策措施。</w:t>
      </w:r>
    </w:p>
    <w:p>
      <w:pPr>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（十）制定流动人口计划生育服务管理制度并组织落实，推动建立流动人口卫生和计划生育信息共享、区域协作和公共服务工作机制。</w:t>
      </w:r>
    </w:p>
    <w:p>
      <w:pPr>
        <w:spacing w:line="600" w:lineRule="exact"/>
        <w:rPr>
          <w:rFonts w:hint="eastAsia" w:ascii="仿宋" w:hAnsi="仿宋" w:eastAsia="仿宋" w:cs="仿宋"/>
          <w:sz w:val="32"/>
          <w:szCs w:val="32"/>
        </w:rPr>
      </w:pPr>
      <w:r>
        <w:rPr>
          <w:rFonts w:hint="eastAsia" w:ascii="仿宋" w:hAnsi="仿宋" w:eastAsia="仿宋" w:cs="仿宋"/>
          <w:sz w:val="32"/>
          <w:szCs w:val="32"/>
        </w:rPr>
        <w:t xml:space="preserve">    （十一）组织拟订全区卫生和计划生育人才发展规划，指导卫生和计划生育人才队伍建设。加强全科医生等急需紧缺专业人才培养，建立完善住院医师和专科医师规范化培训制度并组织实施。</w:t>
      </w:r>
    </w:p>
    <w:p>
      <w:pPr>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（十二）组织拟订全区卫生和计划生育科技发展规划，组织实施卫生和计划生育相关科研项目。组织实施毕业后医学教育和继续医学教育。</w:t>
      </w:r>
    </w:p>
    <w:p>
      <w:pPr>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（十三）指导全区卫生和计划生育工作，完善综合监督执法体系，规范执法行为，监督检查法律法规和政策措施的落实，组织查处重大违法行为。监督落实计划生育一票否决制。</w:t>
      </w:r>
    </w:p>
    <w:p>
      <w:pPr>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（十四）负责全区卫生和计划生育宣传、健康教育、健康促进和信息化建设等工作，依法组织实施统计调查，参与全区人口基础信息库建设。负责对外合作交流与援外医疗工作。</w:t>
      </w:r>
    </w:p>
    <w:p>
      <w:pPr>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（十五）指导制定并组织实施全区中医药中长期发展规划，加强中医药行业监管，并纳入全区卫生和计划生育事业发展总体规划和战略目标。</w:t>
      </w:r>
    </w:p>
    <w:p>
      <w:pPr>
        <w:spacing w:line="600" w:lineRule="exact"/>
        <w:ind w:firstLine="640" w:firstLineChars="200"/>
        <w:rPr>
          <w:rStyle w:val="9"/>
          <w:rFonts w:hint="eastAsia" w:ascii="仿宋" w:hAnsi="仿宋" w:eastAsia="仿宋" w:cs="仿宋"/>
          <w:sz w:val="32"/>
          <w:szCs w:val="32"/>
        </w:rPr>
      </w:pPr>
      <w:r>
        <w:rPr>
          <w:rFonts w:hint="eastAsia" w:ascii="仿宋" w:hAnsi="仿宋" w:eastAsia="仿宋" w:cs="仿宋"/>
          <w:sz w:val="32"/>
          <w:szCs w:val="32"/>
        </w:rPr>
        <w:t>（十六）贯彻执行中央、省、市保健政策，负责全区保健工作的宏观管理，负责区保健对象的医疗保健工作。承担全区重要会议和重大活动的医疗卫生保障工作。</w:t>
      </w:r>
    </w:p>
    <w:p>
      <w:pPr>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（十七）承担区爱国卫生运动委员会、区防治艾滋病工作员会的日常工作。</w:t>
      </w:r>
    </w:p>
    <w:p>
      <w:pPr>
        <w:pStyle w:val="13"/>
        <w:shd w:val="clear" w:color="auto" w:fill="FFFFFF"/>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十八）负责职责范围内对卫生和计划生育行业、领域的安全生产工作实施监督管理。负责医疗质量安全，杜绝重大医疗事故的发生，最大限度减少医疗纠纷；负责疫苗安全管理，严格医疗废弃物的管理；负责对医疗机构的消防设施、电气线路、人员密集场所、安全出口、压力容器、氧气瓶、配电室、锅炉房、大型医疗设备等重点部位、重点环节进行督导检查，消除安全隐患；负责危险化学品安全管理。要重点抓好毒、麻、易燃、易爆危险化学药品的监管，要严格建立出入库台账，全面提升技术安全防范水平。</w:t>
      </w:r>
    </w:p>
    <w:p>
      <w:pPr>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（十九）负责职责范围内对卫生和计划生育行业、领域的安全生产工作实施监督管理。</w:t>
      </w:r>
    </w:p>
    <w:p>
      <w:pPr>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（二十）负责完成区深化改革领导小组布置的改革任务。</w:t>
      </w:r>
    </w:p>
    <w:p>
      <w:pPr>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（二十一）承办区人民政府交办的其他事项。</w:t>
      </w:r>
    </w:p>
    <w:p>
      <w:pPr>
        <w:widowControl/>
        <w:spacing w:line="600" w:lineRule="exact"/>
        <w:ind w:firstLine="630" w:firstLineChars="196"/>
        <w:jc w:val="left"/>
        <w:rPr>
          <w:rFonts w:eastAsia="楷体_GB2312"/>
          <w:b/>
          <w:sz w:val="32"/>
          <w:szCs w:val="32"/>
        </w:rPr>
      </w:pPr>
      <w:r>
        <w:rPr>
          <w:rFonts w:hint="eastAsia" w:eastAsia="楷体_GB2312"/>
          <w:b/>
          <w:sz w:val="32"/>
          <w:szCs w:val="32"/>
          <w:lang w:val="en-US" w:eastAsia="zh-CN"/>
        </w:rPr>
        <w:t>二</w:t>
      </w:r>
      <w:r>
        <w:rPr>
          <w:rFonts w:eastAsia="楷体_GB2312"/>
          <w:b/>
          <w:sz w:val="32"/>
          <w:szCs w:val="32"/>
        </w:rPr>
        <w:t>机构设置情况</w:t>
      </w:r>
    </w:p>
    <w:p>
      <w:pPr>
        <w:ind w:firstLine="640" w:firstLineChars="200"/>
        <w:rPr>
          <w:rFonts w:hint="eastAsia" w:ascii="仿宋_GB2312" w:eastAsia="仿宋_GB2312"/>
          <w:sz w:val="30"/>
          <w:szCs w:val="30"/>
        </w:rPr>
      </w:pPr>
      <w:r>
        <w:rPr>
          <w:rFonts w:hint="eastAsia" w:ascii="仿宋" w:hAnsi="仿宋" w:eastAsia="仿宋" w:cs="仿宋"/>
          <w:sz w:val="32"/>
          <w:szCs w:val="32"/>
        </w:rPr>
        <w:t>南岳区卫生健康局是全额拨款的行政单位，根据编办核定，我局内设股室 8个，分别是</w:t>
      </w:r>
      <w:r>
        <w:rPr>
          <w:rFonts w:hint="eastAsia" w:ascii="仿宋" w:hAnsi="仿宋" w:eastAsia="仿宋" w:cs="仿宋"/>
          <w:color w:val="000000"/>
          <w:sz w:val="32"/>
          <w:szCs w:val="32"/>
          <w:shd w:val="clear" w:color="auto" w:fill="FFFFFF"/>
        </w:rPr>
        <w:t>（一）办公室（加挂党建办、人事股牌子）、（二）基层卫生健康教育股（加挂规划信息股牌子）、（三）财务股（加挂基层医疗机构财务核算中心牌子）、（四）综合监督股（加挂政策法规股、行政审批股牌子）、（五）医政医管股（加挂中医药管理股、药物政策与基本药物制度股、体制改革股牌子）、（六）疾病预防控制股（加挂卫生应急办牌子）、（七）人口监测与家庭发展股、（八）妇幼和老龄健康股</w:t>
      </w:r>
      <w:r>
        <w:rPr>
          <w:rFonts w:hint="eastAsia" w:ascii="仿宋" w:hAnsi="仿宋" w:eastAsia="仿宋" w:cs="仿宋"/>
          <w:sz w:val="32"/>
          <w:szCs w:val="32"/>
        </w:rPr>
        <w:t>。</w:t>
      </w:r>
    </w:p>
    <w:p>
      <w:pPr>
        <w:widowControl/>
        <w:spacing w:line="600" w:lineRule="exact"/>
        <w:ind w:firstLine="630" w:firstLineChars="196"/>
        <w:jc w:val="left"/>
        <w:rPr>
          <w:rFonts w:eastAsia="楷体_GB2312"/>
          <w:b/>
          <w:sz w:val="32"/>
          <w:szCs w:val="32"/>
        </w:rPr>
      </w:pPr>
      <w:r>
        <w:rPr>
          <w:rFonts w:hint="eastAsia" w:eastAsia="楷体_GB2312"/>
          <w:b/>
          <w:sz w:val="32"/>
          <w:szCs w:val="32"/>
          <w:lang w:val="en-US" w:eastAsia="zh-CN"/>
        </w:rPr>
        <w:t>三</w:t>
      </w:r>
      <w:r>
        <w:rPr>
          <w:rFonts w:eastAsia="楷体_GB2312"/>
          <w:b/>
          <w:sz w:val="32"/>
          <w:szCs w:val="32"/>
        </w:rPr>
        <w:t>人员编制情况</w:t>
      </w:r>
    </w:p>
    <w:p>
      <w:pPr>
        <w:numPr>
          <w:ilvl w:val="0"/>
          <w:numId w:val="0"/>
        </w:numPr>
        <w:ind w:firstLine="640" w:firstLineChars="200"/>
        <w:rPr>
          <w:rFonts w:hint="eastAsia" w:ascii="黑体" w:hAnsi="Times New Roman" w:eastAsia="黑体" w:cs="Times New Roman"/>
          <w:sz w:val="32"/>
          <w:szCs w:val="32"/>
        </w:rPr>
      </w:pPr>
      <w:r>
        <w:rPr>
          <w:rFonts w:eastAsia="仿宋_GB2312"/>
          <w:sz w:val="32"/>
          <w:szCs w:val="32"/>
        </w:rPr>
        <w:t>20</w:t>
      </w:r>
      <w:r>
        <w:rPr>
          <w:rFonts w:hint="eastAsia" w:eastAsia="仿宋_GB2312"/>
          <w:sz w:val="32"/>
          <w:szCs w:val="32"/>
          <w:lang w:val="en-US" w:eastAsia="zh-CN"/>
        </w:rPr>
        <w:t>21</w:t>
      </w:r>
      <w:r>
        <w:rPr>
          <w:rFonts w:eastAsia="仿宋_GB2312"/>
          <w:sz w:val="32"/>
          <w:szCs w:val="32"/>
        </w:rPr>
        <w:t>年末，</w:t>
      </w:r>
      <w:r>
        <w:rPr>
          <w:rFonts w:hint="eastAsia" w:ascii="仿宋" w:hAnsi="仿宋" w:eastAsia="仿宋" w:cs="仿宋"/>
          <w:sz w:val="32"/>
          <w:szCs w:val="32"/>
        </w:rPr>
        <w:t>核定编制人数3</w:t>
      </w:r>
      <w:r>
        <w:rPr>
          <w:rFonts w:hint="eastAsia" w:ascii="仿宋" w:hAnsi="仿宋" w:eastAsia="仿宋" w:cs="仿宋"/>
          <w:sz w:val="32"/>
          <w:szCs w:val="32"/>
          <w:lang w:val="en-US" w:eastAsia="zh-CN"/>
        </w:rPr>
        <w:t>6</w:t>
      </w:r>
      <w:r>
        <w:rPr>
          <w:rFonts w:hint="eastAsia" w:ascii="仿宋" w:hAnsi="仿宋" w:eastAsia="仿宋" w:cs="仿宋"/>
          <w:sz w:val="32"/>
          <w:szCs w:val="32"/>
        </w:rPr>
        <w:t>人，其中：行政编制4人，全额事业编制</w:t>
      </w:r>
      <w:r>
        <w:rPr>
          <w:rFonts w:hint="eastAsia" w:ascii="仿宋" w:hAnsi="仿宋" w:eastAsia="仿宋" w:cs="仿宋"/>
          <w:sz w:val="32"/>
          <w:szCs w:val="32"/>
          <w:lang w:val="en-US" w:eastAsia="zh-CN"/>
        </w:rPr>
        <w:t>30</w:t>
      </w:r>
      <w:r>
        <w:rPr>
          <w:rFonts w:hint="eastAsia" w:ascii="仿宋" w:hAnsi="仿宋" w:eastAsia="仿宋" w:cs="仿宋"/>
          <w:sz w:val="32"/>
          <w:szCs w:val="32"/>
        </w:rPr>
        <w:t>人，自收自支事业编制2人，20</w:t>
      </w:r>
      <w:r>
        <w:rPr>
          <w:rFonts w:hint="eastAsia" w:ascii="仿宋" w:hAnsi="仿宋" w:eastAsia="仿宋" w:cs="仿宋"/>
          <w:sz w:val="32"/>
          <w:szCs w:val="32"/>
          <w:lang w:val="en-US" w:eastAsia="zh-CN"/>
        </w:rPr>
        <w:t>20</w:t>
      </w:r>
      <w:r>
        <w:rPr>
          <w:rFonts w:hint="eastAsia" w:ascii="仿宋" w:hAnsi="仿宋" w:eastAsia="仿宋" w:cs="仿宋"/>
          <w:sz w:val="32"/>
          <w:szCs w:val="32"/>
        </w:rPr>
        <w:t>年末实际在岗在编人数2</w:t>
      </w:r>
      <w:r>
        <w:rPr>
          <w:rFonts w:hint="eastAsia" w:ascii="仿宋" w:hAnsi="仿宋" w:eastAsia="仿宋" w:cs="仿宋"/>
          <w:sz w:val="32"/>
          <w:szCs w:val="32"/>
          <w:lang w:val="en-US" w:eastAsia="zh-CN"/>
        </w:rPr>
        <w:t>5</w:t>
      </w:r>
      <w:r>
        <w:rPr>
          <w:rFonts w:hint="eastAsia" w:ascii="仿宋" w:hAnsi="仿宋" w:eastAsia="仿宋" w:cs="仿宋"/>
          <w:sz w:val="32"/>
          <w:szCs w:val="32"/>
        </w:rPr>
        <w:t>人，离退休人员1</w:t>
      </w:r>
      <w:r>
        <w:rPr>
          <w:rFonts w:hint="eastAsia" w:ascii="仿宋" w:hAnsi="仿宋" w:eastAsia="仿宋" w:cs="仿宋"/>
          <w:sz w:val="32"/>
          <w:szCs w:val="32"/>
          <w:lang w:val="en-US" w:eastAsia="zh-CN"/>
        </w:rPr>
        <w:t>2</w:t>
      </w:r>
      <w:r>
        <w:rPr>
          <w:rFonts w:hint="eastAsia" w:ascii="仿宋" w:hAnsi="仿宋" w:eastAsia="仿宋" w:cs="仿宋"/>
          <w:sz w:val="32"/>
          <w:szCs w:val="32"/>
        </w:rPr>
        <w:t>人，临聘人员</w:t>
      </w:r>
      <w:r>
        <w:rPr>
          <w:rFonts w:hint="eastAsia" w:ascii="仿宋" w:hAnsi="仿宋" w:eastAsia="仿宋" w:cs="仿宋"/>
          <w:sz w:val="32"/>
          <w:szCs w:val="32"/>
          <w:lang w:val="en-US" w:eastAsia="zh-CN"/>
        </w:rPr>
        <w:t>1</w:t>
      </w:r>
      <w:r>
        <w:rPr>
          <w:rFonts w:hint="eastAsia" w:ascii="仿宋" w:hAnsi="仿宋" w:eastAsia="仿宋" w:cs="仿宋"/>
          <w:sz w:val="32"/>
          <w:szCs w:val="32"/>
        </w:rPr>
        <w:t>人，借调人员</w:t>
      </w:r>
      <w:r>
        <w:rPr>
          <w:rFonts w:hint="eastAsia" w:ascii="仿宋" w:hAnsi="仿宋" w:eastAsia="仿宋" w:cs="仿宋"/>
          <w:sz w:val="32"/>
          <w:szCs w:val="32"/>
          <w:lang w:val="en-US" w:eastAsia="zh-CN"/>
        </w:rPr>
        <w:t>5</w:t>
      </w:r>
      <w:r>
        <w:rPr>
          <w:rFonts w:hint="eastAsia" w:ascii="仿宋" w:hAnsi="仿宋" w:eastAsia="仿宋" w:cs="仿宋"/>
          <w:sz w:val="32"/>
          <w:szCs w:val="32"/>
        </w:rPr>
        <w:t>人，</w:t>
      </w:r>
      <w:r>
        <w:rPr>
          <w:rFonts w:hint="eastAsia" w:ascii="仿宋" w:hAnsi="仿宋" w:eastAsia="仿宋" w:cs="仿宋"/>
          <w:sz w:val="32"/>
          <w:szCs w:val="32"/>
          <w:lang w:val="en-US" w:eastAsia="zh-CN"/>
        </w:rPr>
        <w:t>劳务派遣6人，</w:t>
      </w:r>
      <w:r>
        <w:rPr>
          <w:rFonts w:hint="eastAsia" w:ascii="仿宋" w:hAnsi="仿宋" w:eastAsia="仿宋" w:cs="仿宋"/>
          <w:sz w:val="32"/>
          <w:szCs w:val="32"/>
        </w:rPr>
        <w:t xml:space="preserve">现有公务用车 </w:t>
      </w:r>
      <w:r>
        <w:rPr>
          <w:rFonts w:hint="eastAsia" w:ascii="仿宋" w:hAnsi="仿宋" w:eastAsia="仿宋" w:cs="仿宋"/>
          <w:sz w:val="32"/>
          <w:szCs w:val="32"/>
          <w:lang w:val="en-US" w:eastAsia="zh-CN"/>
        </w:rPr>
        <w:t>2</w:t>
      </w:r>
      <w:r>
        <w:rPr>
          <w:rFonts w:hint="eastAsia" w:ascii="仿宋" w:hAnsi="仿宋" w:eastAsia="仿宋" w:cs="仿宋"/>
          <w:sz w:val="32"/>
          <w:szCs w:val="32"/>
        </w:rPr>
        <w:t>台（景区医疗救护用车）</w:t>
      </w:r>
      <w:r>
        <w:rPr>
          <w:rFonts w:eastAsia="仿宋_GB2312"/>
          <w:sz w:val="32"/>
          <w:szCs w:val="32"/>
        </w:rPr>
        <w:t>。</w:t>
      </w:r>
    </w:p>
    <w:p>
      <w:pPr>
        <w:widowControl/>
        <w:numPr>
          <w:ilvl w:val="0"/>
          <w:numId w:val="1"/>
        </w:numPr>
        <w:spacing w:line="60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一般公共预算支出情况</w:t>
      </w:r>
    </w:p>
    <w:p>
      <w:pPr>
        <w:widowControl/>
        <w:numPr>
          <w:ilvl w:val="0"/>
          <w:numId w:val="0"/>
        </w:numPr>
        <w:spacing w:line="600" w:lineRule="exact"/>
        <w:ind w:firstLine="643" w:firstLineChars="200"/>
        <w:rPr>
          <w:rFonts w:hint="eastAsia" w:ascii="楷体_GB2312" w:hAnsi="Times New Roman" w:eastAsia="楷体_GB2312" w:cs="Times New Roman"/>
          <w:b/>
          <w:sz w:val="32"/>
          <w:szCs w:val="32"/>
        </w:rPr>
      </w:pPr>
      <w:r>
        <w:rPr>
          <w:rFonts w:hint="eastAsia" w:ascii="楷体_GB2312" w:hAnsi="Times New Roman" w:eastAsia="楷体_GB2312" w:cs="Times New Roman"/>
          <w:b/>
          <w:sz w:val="32"/>
          <w:szCs w:val="32"/>
        </w:rPr>
        <w:t>（一）基本支出情况</w:t>
      </w:r>
    </w:p>
    <w:p>
      <w:pPr>
        <w:tabs>
          <w:tab w:val="left" w:pos="2296"/>
        </w:tabs>
        <w:spacing w:line="600" w:lineRule="exact"/>
        <w:ind w:firstLine="640" w:firstLineChars="200"/>
        <w:rPr>
          <w:rFonts w:eastAsia="仿宋_GB2312"/>
          <w:sz w:val="32"/>
          <w:szCs w:val="32"/>
        </w:rPr>
      </w:pPr>
      <w:r>
        <w:rPr>
          <w:rFonts w:eastAsia="仿宋_GB2312"/>
          <w:sz w:val="32"/>
          <w:szCs w:val="32"/>
        </w:rPr>
        <w:t>基本支出系保障我厅机构正常运转、完成日常工作任务而发生的各项支出，包括用于在职和离退休人员基本工资、津贴补贴等人员经费以及办公费、印刷费、水电费、办公设备购置等日常公用经费。20</w:t>
      </w:r>
      <w:r>
        <w:rPr>
          <w:rFonts w:hint="eastAsia" w:eastAsia="仿宋_GB2312"/>
          <w:sz w:val="32"/>
          <w:szCs w:val="32"/>
          <w:lang w:val="en-US" w:eastAsia="zh-CN"/>
        </w:rPr>
        <w:t>21</w:t>
      </w:r>
      <w:r>
        <w:rPr>
          <w:rFonts w:eastAsia="仿宋_GB2312"/>
          <w:sz w:val="32"/>
          <w:szCs w:val="32"/>
        </w:rPr>
        <w:t>年基本支出</w:t>
      </w:r>
      <w:r>
        <w:rPr>
          <w:rFonts w:hint="eastAsia" w:eastAsia="仿宋_GB2312"/>
          <w:sz w:val="32"/>
          <w:szCs w:val="32"/>
          <w:lang w:val="en-US" w:eastAsia="zh-CN"/>
        </w:rPr>
        <w:t>640.58</w:t>
      </w:r>
      <w:r>
        <w:rPr>
          <w:rFonts w:eastAsia="仿宋_GB2312"/>
          <w:sz w:val="32"/>
          <w:szCs w:val="32"/>
        </w:rPr>
        <w:t>万元，较上年</w:t>
      </w:r>
      <w:r>
        <w:rPr>
          <w:rFonts w:hint="eastAsia" w:eastAsia="仿宋_GB2312"/>
          <w:sz w:val="32"/>
          <w:szCs w:val="32"/>
          <w:lang w:eastAsia="zh-CN"/>
        </w:rPr>
        <w:t>减少</w:t>
      </w:r>
      <w:r>
        <w:rPr>
          <w:rFonts w:hint="eastAsia" w:eastAsia="仿宋_GB2312"/>
          <w:sz w:val="32"/>
          <w:szCs w:val="32"/>
          <w:lang w:val="en-US" w:eastAsia="zh-CN"/>
        </w:rPr>
        <w:t>166.96</w:t>
      </w:r>
      <w:r>
        <w:rPr>
          <w:rFonts w:eastAsia="仿宋_GB2312"/>
          <w:sz w:val="32"/>
          <w:szCs w:val="32"/>
        </w:rPr>
        <w:t>万元。</w:t>
      </w:r>
      <w:r>
        <w:rPr>
          <w:rFonts w:eastAsia="仿宋_GB2312"/>
          <w:color w:val="000000"/>
          <w:sz w:val="32"/>
          <w:szCs w:val="32"/>
        </w:rPr>
        <w:t>基本支出中人员经费</w:t>
      </w:r>
      <w:r>
        <w:rPr>
          <w:rFonts w:hint="eastAsia" w:eastAsia="仿宋_GB2312"/>
          <w:color w:val="000000"/>
          <w:sz w:val="32"/>
          <w:szCs w:val="32"/>
          <w:lang w:val="en-US" w:eastAsia="zh-CN"/>
        </w:rPr>
        <w:t>377.59</w:t>
      </w:r>
      <w:r>
        <w:rPr>
          <w:rFonts w:eastAsia="仿宋_GB2312"/>
          <w:color w:val="000000"/>
          <w:sz w:val="32"/>
          <w:szCs w:val="32"/>
        </w:rPr>
        <w:t>万元，占基本支出的</w:t>
      </w:r>
      <w:r>
        <w:rPr>
          <w:rFonts w:hint="eastAsia" w:eastAsia="仿宋_GB2312"/>
          <w:color w:val="000000"/>
          <w:sz w:val="32"/>
          <w:szCs w:val="32"/>
          <w:lang w:val="en-US" w:eastAsia="zh-CN"/>
        </w:rPr>
        <w:t>58.95</w:t>
      </w:r>
      <w:r>
        <w:rPr>
          <w:rFonts w:eastAsia="仿宋_GB2312"/>
          <w:color w:val="000000"/>
          <w:sz w:val="32"/>
          <w:szCs w:val="32"/>
        </w:rPr>
        <w:t>%，</w:t>
      </w:r>
      <w:r>
        <w:rPr>
          <w:rFonts w:hint="eastAsia" w:eastAsia="仿宋_GB2312"/>
          <w:color w:val="000000"/>
          <w:sz w:val="32"/>
          <w:szCs w:val="32"/>
          <w:lang w:eastAsia="zh-CN"/>
        </w:rPr>
        <w:t>与上年基本持平；</w:t>
      </w:r>
      <w:r>
        <w:rPr>
          <w:rFonts w:eastAsia="仿宋_GB2312"/>
          <w:color w:val="000000"/>
          <w:sz w:val="32"/>
          <w:szCs w:val="32"/>
        </w:rPr>
        <w:t>日常公用经费</w:t>
      </w:r>
      <w:r>
        <w:rPr>
          <w:rFonts w:hint="eastAsia" w:eastAsia="仿宋_GB2312"/>
          <w:color w:val="000000"/>
          <w:sz w:val="32"/>
          <w:szCs w:val="32"/>
          <w:lang w:val="en-US" w:eastAsia="zh-CN"/>
        </w:rPr>
        <w:t>194.96</w:t>
      </w:r>
      <w:r>
        <w:rPr>
          <w:rFonts w:eastAsia="仿宋_GB2312"/>
          <w:color w:val="000000"/>
          <w:sz w:val="32"/>
          <w:szCs w:val="32"/>
        </w:rPr>
        <w:t>万元，占基本支出的</w:t>
      </w:r>
      <w:r>
        <w:rPr>
          <w:rFonts w:hint="eastAsia" w:eastAsia="仿宋_GB2312"/>
          <w:color w:val="000000"/>
          <w:sz w:val="32"/>
          <w:szCs w:val="32"/>
          <w:lang w:val="en-US" w:eastAsia="zh-CN"/>
        </w:rPr>
        <w:t>30.73</w:t>
      </w:r>
      <w:r>
        <w:rPr>
          <w:rFonts w:eastAsia="仿宋_GB2312"/>
          <w:color w:val="000000"/>
          <w:sz w:val="32"/>
          <w:szCs w:val="32"/>
        </w:rPr>
        <w:t>%，较上年</w:t>
      </w:r>
      <w:r>
        <w:rPr>
          <w:rFonts w:hint="eastAsia" w:eastAsia="仿宋_GB2312"/>
          <w:color w:val="000000"/>
          <w:sz w:val="32"/>
          <w:szCs w:val="32"/>
          <w:lang w:eastAsia="zh-CN"/>
        </w:rPr>
        <w:t>下降</w:t>
      </w:r>
      <w:r>
        <w:rPr>
          <w:rFonts w:hint="eastAsia" w:eastAsia="仿宋_GB2312"/>
          <w:color w:val="000000"/>
          <w:sz w:val="32"/>
          <w:szCs w:val="32"/>
          <w:lang w:val="en-US" w:eastAsia="zh-CN"/>
        </w:rPr>
        <w:t>44.6</w:t>
      </w:r>
      <w:r>
        <w:rPr>
          <w:rFonts w:eastAsia="仿宋_GB2312"/>
          <w:color w:val="000000"/>
          <w:sz w:val="32"/>
          <w:szCs w:val="32"/>
        </w:rPr>
        <w:t>%</w:t>
      </w:r>
      <w:r>
        <w:rPr>
          <w:rFonts w:hint="eastAsia" w:eastAsia="仿宋_GB2312"/>
          <w:color w:val="000000"/>
          <w:sz w:val="32"/>
          <w:szCs w:val="32"/>
          <w:lang w:eastAsia="zh-CN"/>
        </w:rPr>
        <w:t>，主要原因是</w:t>
      </w:r>
      <w:r>
        <w:rPr>
          <w:rFonts w:hint="eastAsia" w:eastAsia="仿宋_GB2312"/>
          <w:color w:val="000000"/>
          <w:sz w:val="32"/>
          <w:szCs w:val="32"/>
          <w:lang w:val="en-US" w:eastAsia="zh-CN"/>
        </w:rPr>
        <w:t>受疫情影响和压减非重点、刚性支出要求，我单位厉行节约、严格把关，严控三公经费支出，大力压减公用经费支出。</w:t>
      </w:r>
      <w:bookmarkStart w:id="0" w:name="_GoBack"/>
      <w:bookmarkEnd w:id="0"/>
    </w:p>
    <w:p>
      <w:pPr>
        <w:widowControl/>
        <w:spacing w:line="600" w:lineRule="exact"/>
        <w:ind w:firstLine="643" w:firstLineChars="200"/>
        <w:rPr>
          <w:rFonts w:ascii="楷体_GB2312" w:hAnsi="Times New Roman" w:eastAsia="楷体_GB2312" w:cs="Times New Roman"/>
          <w:b/>
          <w:sz w:val="32"/>
          <w:szCs w:val="32"/>
        </w:rPr>
      </w:pPr>
      <w:r>
        <w:rPr>
          <w:rFonts w:hint="eastAsia" w:ascii="楷体_GB2312" w:hAnsi="Times New Roman" w:eastAsia="楷体_GB2312" w:cs="Times New Roman"/>
          <w:b/>
          <w:sz w:val="32"/>
          <w:szCs w:val="32"/>
        </w:rPr>
        <w:t>（二）</w:t>
      </w:r>
      <w:r>
        <w:rPr>
          <w:rFonts w:ascii="楷体_GB2312" w:hAnsi="Times New Roman" w:eastAsia="楷体_GB2312" w:cs="Times New Roman"/>
          <w:b/>
          <w:sz w:val="32"/>
          <w:szCs w:val="32"/>
        </w:rPr>
        <w:t>项目支出情况</w:t>
      </w:r>
    </w:p>
    <w:p>
      <w:pPr>
        <w:tabs>
          <w:tab w:val="left" w:pos="2296"/>
        </w:tabs>
        <w:spacing w:line="600" w:lineRule="exact"/>
        <w:ind w:firstLine="640" w:firstLineChars="200"/>
        <w:rPr>
          <w:rFonts w:ascii="Times New Roman" w:hAnsi="Times New Roman" w:eastAsia="仿宋_GB2312" w:cs="Times New Roman"/>
          <w:sz w:val="32"/>
          <w:szCs w:val="32"/>
        </w:rPr>
      </w:pPr>
      <w:r>
        <w:rPr>
          <w:rFonts w:eastAsia="仿宋_GB2312"/>
          <w:sz w:val="32"/>
          <w:szCs w:val="32"/>
        </w:rPr>
        <w:t>项目支出系我</w:t>
      </w:r>
      <w:r>
        <w:rPr>
          <w:rFonts w:hint="eastAsia" w:eastAsia="仿宋_GB2312"/>
          <w:sz w:val="32"/>
          <w:szCs w:val="32"/>
          <w:lang w:val="en-US" w:eastAsia="zh-CN"/>
        </w:rPr>
        <w:t>局</w:t>
      </w:r>
      <w:r>
        <w:rPr>
          <w:rFonts w:eastAsia="仿宋_GB2312"/>
          <w:sz w:val="32"/>
          <w:szCs w:val="32"/>
        </w:rPr>
        <w:t>为完成财政财务管理工作而发生的支出。20</w:t>
      </w:r>
      <w:r>
        <w:rPr>
          <w:rFonts w:hint="eastAsia" w:eastAsia="仿宋_GB2312"/>
          <w:sz w:val="32"/>
          <w:szCs w:val="32"/>
          <w:lang w:val="en-US" w:eastAsia="zh-CN"/>
        </w:rPr>
        <w:t>21</w:t>
      </w:r>
      <w:r>
        <w:rPr>
          <w:rFonts w:eastAsia="仿宋_GB2312"/>
          <w:sz w:val="32"/>
          <w:szCs w:val="32"/>
        </w:rPr>
        <w:t>年项目支出</w:t>
      </w:r>
      <w:r>
        <w:rPr>
          <w:rFonts w:hint="eastAsia" w:eastAsia="仿宋_GB2312"/>
          <w:sz w:val="32"/>
          <w:szCs w:val="32"/>
          <w:lang w:val="en-US" w:eastAsia="zh-CN"/>
        </w:rPr>
        <w:t>762.96</w:t>
      </w:r>
      <w:r>
        <w:rPr>
          <w:rFonts w:eastAsia="仿宋_GB2312"/>
          <w:sz w:val="32"/>
          <w:szCs w:val="32"/>
        </w:rPr>
        <w:t>万元，比上年</w:t>
      </w:r>
      <w:r>
        <w:rPr>
          <w:rFonts w:hint="eastAsia" w:eastAsia="仿宋_GB2312"/>
          <w:sz w:val="32"/>
          <w:szCs w:val="32"/>
          <w:lang w:eastAsia="zh-CN"/>
        </w:rPr>
        <w:t>减少</w:t>
      </w:r>
      <w:r>
        <w:rPr>
          <w:rFonts w:hint="eastAsia" w:eastAsia="仿宋_GB2312"/>
          <w:sz w:val="32"/>
          <w:szCs w:val="32"/>
          <w:lang w:val="en-US" w:eastAsia="zh-CN"/>
        </w:rPr>
        <w:t>239.48</w:t>
      </w:r>
      <w:r>
        <w:rPr>
          <w:rFonts w:eastAsia="仿宋_GB2312"/>
          <w:sz w:val="32"/>
          <w:szCs w:val="32"/>
        </w:rPr>
        <w:t>万元</w:t>
      </w:r>
      <w:r>
        <w:rPr>
          <w:rFonts w:hint="eastAsia" w:eastAsia="仿宋_GB2312"/>
          <w:sz w:val="32"/>
          <w:szCs w:val="32"/>
          <w:lang w:eastAsia="zh-CN"/>
        </w:rPr>
        <w:t>，</w:t>
      </w:r>
      <w:r>
        <w:rPr>
          <w:rFonts w:eastAsia="仿宋_GB2312"/>
          <w:sz w:val="32"/>
          <w:szCs w:val="32"/>
        </w:rPr>
        <w:t>运行维护经费支出</w:t>
      </w:r>
      <w:r>
        <w:rPr>
          <w:rFonts w:hint="eastAsia" w:eastAsia="仿宋_GB2312"/>
          <w:sz w:val="32"/>
          <w:szCs w:val="32"/>
          <w:lang w:val="en-US" w:eastAsia="zh-CN"/>
        </w:rPr>
        <w:t>584.2</w:t>
      </w:r>
      <w:r>
        <w:rPr>
          <w:rFonts w:eastAsia="仿宋_GB2312"/>
          <w:sz w:val="32"/>
          <w:szCs w:val="32"/>
        </w:rPr>
        <w:t>万元，比上年</w:t>
      </w:r>
      <w:r>
        <w:rPr>
          <w:rFonts w:hint="eastAsia" w:eastAsia="仿宋_GB2312"/>
          <w:sz w:val="32"/>
          <w:szCs w:val="32"/>
          <w:lang w:eastAsia="zh-CN"/>
        </w:rPr>
        <w:t>减少</w:t>
      </w:r>
      <w:r>
        <w:rPr>
          <w:rFonts w:hint="eastAsia" w:eastAsia="仿宋_GB2312"/>
          <w:sz w:val="32"/>
          <w:szCs w:val="32"/>
          <w:lang w:val="en-US" w:eastAsia="zh-CN"/>
        </w:rPr>
        <w:t>227.2</w:t>
      </w:r>
      <w:r>
        <w:rPr>
          <w:rFonts w:eastAsia="仿宋_GB2312"/>
          <w:sz w:val="32"/>
          <w:szCs w:val="32"/>
        </w:rPr>
        <w:t>万元，</w:t>
      </w:r>
      <w:r>
        <w:rPr>
          <w:rFonts w:hint="eastAsia" w:eastAsia="仿宋_GB2312"/>
          <w:sz w:val="32"/>
          <w:szCs w:val="32"/>
          <w:lang w:eastAsia="zh-CN"/>
        </w:rPr>
        <w:t>下降</w:t>
      </w:r>
      <w:r>
        <w:rPr>
          <w:rFonts w:hint="eastAsia" w:eastAsia="仿宋_GB2312"/>
          <w:sz w:val="32"/>
          <w:szCs w:val="32"/>
          <w:lang w:val="en-US" w:eastAsia="zh-CN"/>
        </w:rPr>
        <w:t>28</w:t>
      </w:r>
      <w:r>
        <w:rPr>
          <w:rFonts w:eastAsia="仿宋_GB2312"/>
          <w:sz w:val="32"/>
          <w:szCs w:val="32"/>
        </w:rPr>
        <w:t>%</w:t>
      </w:r>
      <w:r>
        <w:rPr>
          <w:rFonts w:hint="eastAsia" w:eastAsia="仿宋_GB2312"/>
          <w:sz w:val="32"/>
          <w:szCs w:val="32"/>
          <w:lang w:val="en-US" w:eastAsia="zh-CN"/>
        </w:rPr>
        <w:t>。</w:t>
      </w:r>
    </w:p>
    <w:p>
      <w:pPr>
        <w:widowControl/>
        <w:numPr>
          <w:ilvl w:val="0"/>
          <w:numId w:val="0"/>
        </w:numPr>
        <w:spacing w:line="600" w:lineRule="exact"/>
        <w:ind w:leftChars="0" w:firstLine="640" w:firstLineChars="200"/>
        <w:jc w:val="left"/>
        <w:rPr>
          <w:rFonts w:ascii="Times New Roman" w:hAnsi="Times New Roman" w:eastAsia="黑体" w:cs="Times New Roman"/>
          <w:sz w:val="32"/>
          <w:szCs w:val="32"/>
        </w:rPr>
      </w:pPr>
      <w:r>
        <w:rPr>
          <w:rFonts w:hint="eastAsia" w:ascii="Times New Roman" w:hAnsi="Times New Roman" w:eastAsia="黑体" w:cs="Times New Roman"/>
          <w:sz w:val="32"/>
          <w:szCs w:val="32"/>
          <w:lang w:eastAsia="zh-CN"/>
        </w:rPr>
        <w:t>三、</w:t>
      </w:r>
      <w:r>
        <w:rPr>
          <w:rFonts w:ascii="Times New Roman" w:hAnsi="Times New Roman" w:eastAsia="黑体" w:cs="Times New Roman"/>
          <w:sz w:val="32"/>
          <w:szCs w:val="32"/>
        </w:rPr>
        <w:t>部门整体支出绩效情况</w:t>
      </w:r>
    </w:p>
    <w:p>
      <w:pPr>
        <w:pStyle w:val="6"/>
        <w:widowControl/>
        <w:numPr>
          <w:ilvl w:val="0"/>
          <w:numId w:val="2"/>
        </w:numPr>
        <w:spacing w:before="0" w:beforeAutospacing="0" w:after="0" w:afterAutospacing="0" w:line="580" w:lineRule="exact"/>
        <w:ind w:firstLine="643" w:firstLineChars="200"/>
        <w:jc w:val="both"/>
        <w:rPr>
          <w:rFonts w:hint="eastAsia" w:ascii="仿宋" w:hAnsi="仿宋" w:eastAsia="仿宋" w:cs="仿宋"/>
          <w:b/>
          <w:bCs/>
          <w:color w:val="auto"/>
          <w:sz w:val="32"/>
          <w:szCs w:val="32"/>
          <w:highlight w:val="none"/>
        </w:rPr>
      </w:pPr>
      <w:r>
        <w:rPr>
          <w:rFonts w:hint="eastAsia" w:ascii="仿宋" w:hAnsi="仿宋" w:eastAsia="仿宋" w:cs="仿宋"/>
          <w:b/>
          <w:bCs/>
          <w:color w:val="auto"/>
          <w:sz w:val="32"/>
          <w:szCs w:val="32"/>
          <w:highlight w:val="none"/>
        </w:rPr>
        <w:t>疫情防控常态化，筑牢防线不放松。</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rPr>
          <w:rFonts w:hint="eastAsia" w:ascii="仿宋" w:hAnsi="仿宋" w:eastAsia="仿宋" w:cs="仿宋"/>
          <w:color w:val="auto"/>
          <w:sz w:val="32"/>
          <w:szCs w:val="36"/>
          <w:highlight w:val="none"/>
          <w:lang w:eastAsia="zh-CN"/>
        </w:rPr>
      </w:pPr>
      <w:r>
        <w:rPr>
          <w:rFonts w:hint="eastAsia" w:ascii="仿宋" w:hAnsi="仿宋" w:eastAsia="仿宋" w:cs="仿宋"/>
          <w:b/>
          <w:bCs/>
          <w:color w:val="auto"/>
          <w:sz w:val="32"/>
          <w:szCs w:val="32"/>
          <w:highlight w:val="none"/>
          <w:lang w:eastAsia="zh-CN"/>
        </w:rPr>
        <w:t>一是管住重点人群，严防扩散。</w:t>
      </w:r>
      <w:r>
        <w:rPr>
          <w:rFonts w:hint="eastAsia" w:ascii="仿宋" w:hAnsi="仿宋" w:eastAsia="仿宋" w:cs="仿宋"/>
          <w:sz w:val="32"/>
          <w:szCs w:val="32"/>
          <w:lang w:val="en-US" w:eastAsia="zh-CN"/>
        </w:rPr>
        <w:t>本年度共排查境外返岳人员66人，全部实行了闭环转运、集中隔离，严格按照防控措施执行到位</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目前1人集中隔离中</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共摸排中、高风险地区返岳人员1700人次，协查管控密接、次密接39人次，全部按照要求实行分类分级管理，严格采取集中隔离、居家隔离及居家健康监测等管控措施，已全部进行核酸检测采样，结果全部为阴性。</w:t>
      </w:r>
      <w:r>
        <w:rPr>
          <w:rFonts w:hint="eastAsia" w:ascii="仿宋" w:hAnsi="仿宋" w:eastAsia="仿宋" w:cs="仿宋"/>
          <w:b/>
          <w:bCs/>
          <w:color w:val="auto"/>
          <w:sz w:val="32"/>
          <w:szCs w:val="32"/>
          <w:highlight w:val="none"/>
          <w:lang w:eastAsia="zh-CN"/>
        </w:rPr>
        <w:t>二是有序推进新冠病毒疫苗接种。</w:t>
      </w:r>
      <w:r>
        <w:rPr>
          <w:rFonts w:hint="eastAsia" w:ascii="仿宋" w:hAnsi="仿宋" w:eastAsia="仿宋" w:cs="仿宋"/>
          <w:sz w:val="32"/>
          <w:szCs w:val="32"/>
          <w:lang w:val="en-US" w:eastAsia="zh-CN"/>
        </w:rPr>
        <w:t>截止2021年12月6日，全区共接种126971剂次，其中第一剂接种62150人,第二剂次接种57404人,第三剂次接种7417人，接种完成率达94.24%。</w:t>
      </w:r>
      <w:r>
        <w:rPr>
          <w:rFonts w:hint="eastAsia" w:ascii="仿宋" w:hAnsi="仿宋" w:eastAsia="仿宋" w:cs="仿宋"/>
          <w:color w:val="auto"/>
          <w:sz w:val="32"/>
          <w:szCs w:val="36"/>
          <w:highlight w:val="none"/>
        </w:rPr>
        <w:t>规范开展新冠疫苗接种疑似预防接种异常反应调查及诊断，接种目前共报告AEFI病例27例，规范处置27例。</w:t>
      </w:r>
      <w:r>
        <w:rPr>
          <w:rFonts w:hint="eastAsia" w:ascii="仿宋" w:hAnsi="仿宋" w:eastAsia="仿宋" w:cs="仿宋"/>
          <w:b/>
          <w:bCs/>
          <w:color w:val="auto"/>
          <w:sz w:val="32"/>
          <w:szCs w:val="32"/>
          <w:highlight w:val="none"/>
          <w:lang w:eastAsia="zh-CN"/>
        </w:rPr>
        <w:t>三是加大核酸检测范围与力度。截止</w:t>
      </w:r>
      <w:r>
        <w:rPr>
          <w:rFonts w:hint="eastAsia" w:ascii="仿宋" w:hAnsi="仿宋" w:eastAsia="仿宋" w:cs="仿宋"/>
          <w:b/>
          <w:bCs/>
          <w:color w:val="auto"/>
          <w:sz w:val="32"/>
          <w:szCs w:val="32"/>
          <w:highlight w:val="none"/>
          <w:lang w:val="en-US" w:eastAsia="zh-CN"/>
        </w:rPr>
        <w:t>11月30日，</w:t>
      </w:r>
      <w:r>
        <w:rPr>
          <w:rFonts w:hint="eastAsia" w:ascii="仿宋" w:hAnsi="仿宋" w:eastAsia="仿宋" w:cs="仿宋"/>
          <w:b w:val="0"/>
          <w:bCs w:val="0"/>
          <w:color w:val="auto"/>
          <w:sz w:val="32"/>
          <w:szCs w:val="32"/>
          <w:highlight w:val="none"/>
        </w:rPr>
        <w:t>核酸检测重点人群</w:t>
      </w:r>
      <w:r>
        <w:rPr>
          <w:rFonts w:hint="eastAsia" w:ascii="仿宋" w:hAnsi="仿宋" w:eastAsia="仿宋" w:cs="仿宋"/>
          <w:b w:val="0"/>
          <w:bCs w:val="0"/>
          <w:color w:val="auto"/>
          <w:sz w:val="32"/>
          <w:szCs w:val="32"/>
          <w:highlight w:val="none"/>
          <w:lang w:val="en-US" w:eastAsia="zh-CN"/>
        </w:rPr>
        <w:t>63475人次</w:t>
      </w:r>
      <w:r>
        <w:rPr>
          <w:rFonts w:hint="eastAsia" w:ascii="仿宋" w:hAnsi="仿宋" w:eastAsia="仿宋" w:cs="仿宋"/>
          <w:b w:val="0"/>
          <w:bCs w:val="0"/>
          <w:color w:val="auto"/>
          <w:sz w:val="32"/>
          <w:szCs w:val="32"/>
          <w:highlight w:val="none"/>
        </w:rPr>
        <w:t>、冷链食品及外环境样品</w:t>
      </w:r>
      <w:r>
        <w:rPr>
          <w:rFonts w:hint="eastAsia" w:ascii="仿宋" w:hAnsi="仿宋" w:eastAsia="仿宋" w:cs="仿宋"/>
          <w:b w:val="0"/>
          <w:bCs w:val="0"/>
          <w:color w:val="auto"/>
          <w:sz w:val="32"/>
          <w:szCs w:val="32"/>
          <w:highlight w:val="none"/>
          <w:lang w:val="en-US" w:eastAsia="zh-CN"/>
        </w:rPr>
        <w:t>4267</w:t>
      </w:r>
      <w:r>
        <w:rPr>
          <w:rFonts w:hint="eastAsia" w:ascii="仿宋" w:hAnsi="仿宋" w:eastAsia="仿宋" w:cs="仿宋"/>
          <w:b w:val="0"/>
          <w:bCs w:val="0"/>
          <w:color w:val="auto"/>
          <w:sz w:val="32"/>
          <w:szCs w:val="32"/>
          <w:highlight w:val="none"/>
          <w:lang w:eastAsia="zh-CN"/>
        </w:rPr>
        <w:t>处</w:t>
      </w:r>
      <w:r>
        <w:rPr>
          <w:rFonts w:hint="eastAsia" w:ascii="仿宋" w:hAnsi="仿宋" w:eastAsia="仿宋" w:cs="仿宋"/>
          <w:b w:val="0"/>
          <w:bCs w:val="0"/>
          <w:color w:val="auto"/>
          <w:sz w:val="32"/>
          <w:szCs w:val="32"/>
          <w:highlight w:val="none"/>
        </w:rPr>
        <w:t>，结果全为阴性；</w:t>
      </w:r>
      <w:r>
        <w:rPr>
          <w:rFonts w:hint="eastAsia" w:ascii="仿宋" w:hAnsi="仿宋" w:eastAsia="仿宋" w:cs="仿宋"/>
          <w:b/>
          <w:bCs/>
          <w:color w:val="auto"/>
          <w:sz w:val="32"/>
          <w:szCs w:val="32"/>
          <w:highlight w:val="none"/>
          <w:lang w:eastAsia="zh-CN"/>
        </w:rPr>
        <w:t>四是持续抓好医院等重点场所管控。</w:t>
      </w:r>
      <w:r>
        <w:rPr>
          <w:rFonts w:hint="eastAsia" w:ascii="仿宋" w:hAnsi="仿宋" w:eastAsia="仿宋" w:cs="仿宋"/>
          <w:color w:val="auto"/>
          <w:sz w:val="32"/>
          <w:szCs w:val="32"/>
          <w:highlight w:val="none"/>
        </w:rPr>
        <w:t>安排医务人员在景区景点入口进行值班值守，对发现的发热、“红黄码”等重点人员严格按要求落实管控措施，做到早发现、早报告、早处置；</w:t>
      </w:r>
      <w:r>
        <w:rPr>
          <w:rFonts w:hint="eastAsia" w:ascii="仿宋" w:hAnsi="仿宋" w:eastAsia="仿宋" w:cs="仿宋"/>
          <w:b/>
          <w:bCs/>
          <w:color w:val="auto"/>
          <w:sz w:val="32"/>
          <w:szCs w:val="32"/>
          <w:highlight w:val="none"/>
          <w:lang w:eastAsia="zh-CN"/>
        </w:rPr>
        <w:t>五是严格规范隔离酒店的管理。</w:t>
      </w:r>
      <w:r>
        <w:rPr>
          <w:rFonts w:hint="eastAsia" w:ascii="仿宋" w:hAnsi="仿宋" w:eastAsia="仿宋" w:cs="仿宋"/>
          <w:color w:val="auto"/>
          <w:sz w:val="32"/>
          <w:szCs w:val="32"/>
          <w:highlight w:val="none"/>
        </w:rPr>
        <w:t>截至12月6日，全区共集中隔离490人，未发生因集中隔离管控不严导致的交叉感染事件</w:t>
      </w:r>
      <w:r>
        <w:rPr>
          <w:rFonts w:hint="eastAsia" w:ascii="仿宋" w:hAnsi="仿宋" w:eastAsia="仿宋" w:cs="仿宋"/>
          <w:color w:val="auto"/>
          <w:sz w:val="32"/>
          <w:szCs w:val="36"/>
          <w:highlight w:val="none"/>
        </w:rPr>
        <w:t>；</w:t>
      </w:r>
      <w:r>
        <w:rPr>
          <w:rFonts w:hint="eastAsia" w:ascii="仿宋" w:hAnsi="仿宋" w:eastAsia="仿宋" w:cs="仿宋"/>
          <w:b/>
          <w:bCs/>
          <w:color w:val="auto"/>
          <w:sz w:val="32"/>
          <w:szCs w:val="32"/>
          <w:highlight w:val="none"/>
          <w:lang w:eastAsia="zh-CN"/>
        </w:rPr>
        <w:t>六是制定应急预案、优化组织流程、强化应急演练，加强专业服务培训，加强应急物资储备。</w:t>
      </w:r>
      <w:r>
        <w:rPr>
          <w:rFonts w:hint="eastAsia" w:ascii="仿宋" w:hAnsi="仿宋" w:eastAsia="仿宋" w:cs="仿宋"/>
          <w:color w:val="auto"/>
          <w:sz w:val="32"/>
          <w:szCs w:val="32"/>
          <w:highlight w:val="none"/>
        </w:rPr>
        <w:t>各医疗卫生单位培训流调、采样人员达到了医务人员的</w:t>
      </w:r>
      <w:r>
        <w:rPr>
          <w:rFonts w:hint="eastAsia" w:ascii="仿宋" w:hAnsi="仿宋" w:eastAsia="仿宋" w:cs="仿宋"/>
          <w:color w:val="auto"/>
          <w:sz w:val="32"/>
          <w:szCs w:val="32"/>
          <w:highlight w:val="none"/>
          <w:lang w:val="en-US" w:eastAsia="zh-CN"/>
        </w:rPr>
        <w:t>85</w:t>
      </w:r>
      <w:r>
        <w:rPr>
          <w:rFonts w:hint="eastAsia" w:ascii="仿宋" w:hAnsi="仿宋" w:eastAsia="仿宋" w:cs="仿宋"/>
          <w:color w:val="auto"/>
          <w:sz w:val="32"/>
          <w:szCs w:val="32"/>
          <w:highlight w:val="none"/>
        </w:rPr>
        <w:t>%，规范了全区各医疗卫生单位发热门诊、预诊分诊，加强了院感防控。</w:t>
      </w:r>
      <w:r>
        <w:rPr>
          <w:rFonts w:hint="eastAsia" w:ascii="仿宋" w:hAnsi="仿宋" w:eastAsia="仿宋" w:cs="仿宋"/>
          <w:b/>
          <w:bCs/>
          <w:color w:val="auto"/>
          <w:sz w:val="32"/>
          <w:szCs w:val="32"/>
          <w:highlight w:val="none"/>
          <w:lang w:eastAsia="zh-CN"/>
        </w:rPr>
        <w:t>七是从严开展疫情防控督导。</w:t>
      </w:r>
      <w:r>
        <w:rPr>
          <w:rFonts w:hint="eastAsia" w:ascii="仿宋" w:hAnsi="仿宋" w:eastAsia="仿宋" w:cs="仿宋"/>
          <w:color w:val="auto"/>
          <w:sz w:val="32"/>
          <w:szCs w:val="32"/>
          <w:highlight w:val="none"/>
        </w:rPr>
        <w:t>要求各单位责任到位、培训到位、措施到位、医疗救护值守到位；对南华附三医院、区疾控中心核酸检测实验室的工作开展不定期督查，确保实验室检测质量达标。</w:t>
      </w:r>
      <w:r>
        <w:rPr>
          <w:rFonts w:hint="eastAsia" w:ascii="仿宋" w:hAnsi="仿宋" w:eastAsia="仿宋" w:cs="仿宋"/>
          <w:b/>
          <w:bCs/>
          <w:color w:val="auto"/>
          <w:sz w:val="32"/>
          <w:szCs w:val="32"/>
          <w:highlight w:val="none"/>
          <w:lang w:eastAsia="zh-CN"/>
        </w:rPr>
        <w:t>八</w:t>
      </w:r>
      <w:r>
        <w:rPr>
          <w:rFonts w:hint="eastAsia" w:ascii="仿宋" w:hAnsi="仿宋" w:eastAsia="仿宋" w:cs="仿宋"/>
          <w:b/>
          <w:bCs/>
          <w:color w:val="auto"/>
          <w:sz w:val="32"/>
          <w:szCs w:val="32"/>
          <w:highlight w:val="none"/>
        </w:rPr>
        <w:t>是做好健康宣传教育工作</w:t>
      </w:r>
      <w:r>
        <w:rPr>
          <w:rFonts w:hint="eastAsia" w:ascii="仿宋" w:hAnsi="仿宋" w:eastAsia="仿宋" w:cs="仿宋"/>
          <w:b/>
          <w:bCs/>
          <w:color w:val="auto"/>
          <w:sz w:val="32"/>
          <w:szCs w:val="32"/>
          <w:highlight w:val="none"/>
          <w:lang w:eastAsia="zh-CN"/>
        </w:rPr>
        <w:t>。</w:t>
      </w:r>
      <w:r>
        <w:rPr>
          <w:rFonts w:hint="eastAsia" w:ascii="仿宋" w:hAnsi="仿宋" w:eastAsia="仿宋" w:cs="仿宋"/>
          <w:color w:val="auto"/>
          <w:sz w:val="32"/>
          <w:szCs w:val="32"/>
          <w:highlight w:val="none"/>
        </w:rPr>
        <w:t xml:space="preserve">利用爱卫月、健康义诊等各类宣传活动向居民群众普及疫情防控及疫苗接种知识。 </w:t>
      </w:r>
    </w:p>
    <w:p>
      <w:pPr>
        <w:numPr>
          <w:ilvl w:val="0"/>
          <w:numId w:val="2"/>
        </w:numPr>
        <w:spacing w:line="580" w:lineRule="exact"/>
        <w:ind w:left="0" w:leftChars="0" w:firstLine="643" w:firstLineChars="200"/>
        <w:rPr>
          <w:rFonts w:hint="eastAsia" w:ascii="仿宋" w:hAnsi="仿宋" w:eastAsia="仿宋" w:cs="仿宋"/>
          <w:b/>
          <w:bCs/>
          <w:color w:val="auto"/>
          <w:sz w:val="32"/>
          <w:szCs w:val="32"/>
          <w:highlight w:val="none"/>
        </w:rPr>
      </w:pPr>
      <w:r>
        <w:rPr>
          <w:rFonts w:hint="eastAsia" w:ascii="仿宋" w:hAnsi="仿宋" w:eastAsia="仿宋" w:cs="仿宋"/>
          <w:b/>
          <w:bCs/>
          <w:color w:val="auto"/>
          <w:sz w:val="32"/>
          <w:szCs w:val="32"/>
          <w:highlight w:val="none"/>
        </w:rPr>
        <w:t>抓实重点民生实事，增强民众幸福感。</w:t>
      </w:r>
    </w:p>
    <w:p>
      <w:pPr>
        <w:numPr>
          <w:ilvl w:val="0"/>
          <w:numId w:val="0"/>
        </w:numPr>
        <w:spacing w:line="580" w:lineRule="exact"/>
        <w:ind w:firstLine="643" w:firstLineChars="200"/>
        <w:rPr>
          <w:rFonts w:hint="eastAsia" w:ascii="仿宋" w:hAnsi="仿宋" w:eastAsia="仿宋" w:cs="仿宋"/>
          <w:color w:val="FF0000"/>
          <w:sz w:val="32"/>
          <w:szCs w:val="32"/>
          <w:highlight w:val="none"/>
          <w:lang w:eastAsia="zh-CN"/>
        </w:rPr>
      </w:pPr>
      <w:r>
        <w:rPr>
          <w:rFonts w:hint="eastAsia" w:ascii="仿宋" w:hAnsi="仿宋" w:eastAsia="仿宋" w:cs="仿宋"/>
          <w:b/>
          <w:bCs/>
          <w:color w:val="auto"/>
          <w:sz w:val="32"/>
          <w:szCs w:val="32"/>
          <w:highlight w:val="none"/>
          <w:lang w:eastAsia="zh-CN"/>
        </w:rPr>
        <w:t>一是推进中医药服务基层全覆盖。</w:t>
      </w:r>
      <w:r>
        <w:rPr>
          <w:rFonts w:hint="eastAsia" w:ascii="仿宋" w:hAnsi="仿宋" w:eastAsia="仿宋" w:cs="仿宋"/>
          <w:color w:val="auto"/>
          <w:sz w:val="32"/>
          <w:szCs w:val="32"/>
          <w:highlight w:val="none"/>
        </w:rPr>
        <w:t>全区1家社区卫生服务中心、2家乡镇卫生院和20家村卫生室均具备中医药服务能力，每年为辖区内老年人提供一次中医体质辨识和中医药保健服务</w:t>
      </w:r>
      <w:r>
        <w:rPr>
          <w:rFonts w:hint="eastAsia" w:ascii="仿宋" w:hAnsi="仿宋" w:eastAsia="仿宋" w:cs="仿宋"/>
          <w:color w:val="auto"/>
          <w:sz w:val="32"/>
          <w:szCs w:val="32"/>
          <w:highlight w:val="none"/>
          <w:shd w:val="clear" w:color="auto" w:fill="FFFFFF"/>
        </w:rPr>
        <w:t>，为基层群众提供针刺、艾灸等10项中医药适宜技术方法，及时开展了中医药养生保健知识讲座36期。</w:t>
      </w:r>
      <w:r>
        <w:rPr>
          <w:rFonts w:hint="eastAsia" w:ascii="仿宋" w:hAnsi="仿宋" w:eastAsia="仿宋" w:cs="仿宋"/>
          <w:b/>
          <w:bCs/>
          <w:color w:val="auto"/>
          <w:kern w:val="0"/>
          <w:sz w:val="32"/>
          <w:szCs w:val="32"/>
          <w:highlight w:val="none"/>
          <w:lang w:bidi="ar"/>
        </w:rPr>
        <w:t>二是开展免费产前筛查工作。</w:t>
      </w:r>
      <w:r>
        <w:rPr>
          <w:rFonts w:hint="eastAsia" w:ascii="仿宋" w:hAnsi="仿宋" w:eastAsia="仿宋" w:cs="仿宋"/>
          <w:color w:val="auto"/>
          <w:kern w:val="0"/>
          <w:sz w:val="32"/>
          <w:szCs w:val="32"/>
          <w:highlight w:val="none"/>
          <w:lang w:bidi="ar"/>
        </w:rPr>
        <w:t>今年需开展筛查350人，截止11月20日已完成353人，完成100.8%。筛查出风险人群84人，无创DNA免费检查9人，四维彩超75人。风险人群干预率100%，风险人群妊娠结局随访84人，随访率为100%。</w:t>
      </w:r>
    </w:p>
    <w:p>
      <w:pPr>
        <w:pStyle w:val="6"/>
        <w:widowControl/>
        <w:numPr>
          <w:ilvl w:val="0"/>
          <w:numId w:val="0"/>
        </w:numPr>
        <w:spacing w:before="0" w:beforeAutospacing="0" w:after="0" w:afterAutospacing="0" w:line="580" w:lineRule="exact"/>
        <w:ind w:firstLine="643" w:firstLineChars="200"/>
        <w:jc w:val="both"/>
        <w:rPr>
          <w:rFonts w:hint="eastAsia" w:ascii="仿宋" w:hAnsi="仿宋" w:eastAsia="仿宋" w:cs="仿宋"/>
          <w:b/>
          <w:bCs/>
          <w:color w:val="auto"/>
          <w:sz w:val="32"/>
          <w:szCs w:val="32"/>
          <w:highlight w:val="none"/>
        </w:rPr>
      </w:pPr>
      <w:r>
        <w:rPr>
          <w:rFonts w:hint="eastAsia" w:ascii="仿宋" w:hAnsi="仿宋" w:eastAsia="仿宋" w:cs="仿宋"/>
          <w:b/>
          <w:bCs/>
          <w:color w:val="auto"/>
          <w:sz w:val="32"/>
          <w:szCs w:val="32"/>
          <w:highlight w:val="none"/>
        </w:rPr>
        <w:t>（三）坚持服务为民，推进医疗卫生事业发展。</w:t>
      </w:r>
    </w:p>
    <w:p>
      <w:pPr>
        <w:spacing w:line="580" w:lineRule="exact"/>
        <w:ind w:firstLine="643" w:firstLineChars="200"/>
        <w:rPr>
          <w:rFonts w:hint="eastAsia" w:ascii="仿宋" w:hAnsi="仿宋" w:eastAsia="仿宋" w:cs="仿宋"/>
          <w:color w:val="auto"/>
          <w:kern w:val="0"/>
          <w:sz w:val="32"/>
          <w:szCs w:val="32"/>
          <w:highlight w:val="none"/>
          <w:lang w:bidi="ar"/>
        </w:rPr>
      </w:pPr>
      <w:r>
        <w:rPr>
          <w:rFonts w:hint="eastAsia" w:ascii="仿宋" w:hAnsi="仿宋" w:eastAsia="仿宋" w:cs="仿宋"/>
          <w:b/>
          <w:bCs/>
          <w:color w:val="auto"/>
          <w:kern w:val="0"/>
          <w:sz w:val="32"/>
          <w:szCs w:val="32"/>
          <w:highlight w:val="none"/>
          <w:lang w:bidi="ar"/>
        </w:rPr>
        <w:t>一是继续推进医联体建设。</w:t>
      </w:r>
      <w:r>
        <w:rPr>
          <w:rFonts w:hint="eastAsia" w:ascii="仿宋" w:hAnsi="仿宋" w:eastAsia="仿宋" w:cs="仿宋"/>
          <w:color w:val="auto"/>
          <w:kern w:val="0"/>
          <w:sz w:val="32"/>
          <w:szCs w:val="32"/>
          <w:highlight w:val="none"/>
          <w:lang w:bidi="ar"/>
        </w:rPr>
        <w:t>全区所有公立医疗机构（含南华大学附三医院）均与南华大学附一医院签订了《双向转诊、远程医疗合作协议》和《医疗合作协议》，形成了我区医联体的3+2+1模式；探索建立互联网+分级诊疗信息管理平台，推进形成“基层首诊、双向转诊、急慢分治、上下联动”的分级诊疗格局。二</w:t>
      </w:r>
      <w:r>
        <w:rPr>
          <w:rFonts w:hint="eastAsia" w:ascii="仿宋" w:hAnsi="仿宋" w:eastAsia="仿宋" w:cs="仿宋"/>
          <w:b/>
          <w:bCs/>
          <w:color w:val="auto"/>
          <w:kern w:val="0"/>
          <w:sz w:val="32"/>
          <w:szCs w:val="32"/>
          <w:highlight w:val="none"/>
          <w:lang w:bidi="ar"/>
        </w:rPr>
        <w:t>是严格执行药品采购制度。</w:t>
      </w:r>
      <w:r>
        <w:rPr>
          <w:rFonts w:hint="eastAsia" w:ascii="仿宋" w:hAnsi="仿宋" w:eastAsia="仿宋" w:cs="仿宋"/>
          <w:color w:val="auto"/>
          <w:kern w:val="0"/>
          <w:sz w:val="32"/>
          <w:szCs w:val="32"/>
          <w:highlight w:val="none"/>
          <w:lang w:bidi="ar"/>
        </w:rPr>
        <w:t>加强各级医疗机构基本药物配备使用和用药规范管理，加强短缺药品供应保障，继续严格实施药品采购“两票制”，开展基层医疗机构药事管理工作。</w:t>
      </w:r>
      <w:r>
        <w:rPr>
          <w:rFonts w:hint="eastAsia" w:ascii="仿宋" w:hAnsi="仿宋" w:eastAsia="仿宋" w:cs="仿宋"/>
          <w:b/>
          <w:bCs/>
          <w:color w:val="auto"/>
          <w:kern w:val="0"/>
          <w:sz w:val="32"/>
          <w:szCs w:val="32"/>
          <w:highlight w:val="none"/>
          <w:lang w:bidi="ar"/>
        </w:rPr>
        <w:t>三是推进智慧医疗体系建设。</w:t>
      </w:r>
      <w:r>
        <w:rPr>
          <w:rFonts w:hint="eastAsia" w:ascii="仿宋" w:hAnsi="仿宋" w:eastAsia="仿宋" w:cs="仿宋"/>
          <w:color w:val="auto"/>
          <w:kern w:val="0"/>
          <w:sz w:val="32"/>
          <w:szCs w:val="32"/>
          <w:highlight w:val="none"/>
          <w:lang w:bidi="ar"/>
        </w:rPr>
        <w:t>与南岳电信公司进行区域远程医疗等服务模块合作洽谈，进一步推进“互联网+医疗”服务尽快用于各医疗机构诊疗和公开卫生服务当中。</w:t>
      </w:r>
    </w:p>
    <w:p>
      <w:pPr>
        <w:spacing w:line="580" w:lineRule="exact"/>
        <w:ind w:firstLine="643" w:firstLineChars="200"/>
        <w:rPr>
          <w:rFonts w:hint="eastAsia" w:ascii="仿宋" w:hAnsi="仿宋" w:eastAsia="仿宋" w:cs="仿宋"/>
          <w:color w:val="FF0000"/>
          <w:sz w:val="32"/>
          <w:szCs w:val="32"/>
          <w:highlight w:val="none"/>
          <w:lang w:eastAsia="zh-CN"/>
        </w:rPr>
      </w:pPr>
      <w:r>
        <w:rPr>
          <w:rFonts w:hint="eastAsia" w:ascii="仿宋" w:hAnsi="仿宋" w:eastAsia="仿宋" w:cs="仿宋"/>
          <w:b/>
          <w:bCs/>
          <w:color w:val="auto"/>
          <w:kern w:val="0"/>
          <w:sz w:val="32"/>
          <w:szCs w:val="32"/>
          <w:highlight w:val="none"/>
          <w:lang w:val="en-US" w:eastAsia="zh-CN" w:bidi="ar-SA"/>
        </w:rPr>
        <w:t>（四）筑牢健康堡垒，助推乡村振兴。</w:t>
      </w:r>
      <w:r>
        <w:rPr>
          <w:rFonts w:hint="eastAsia" w:ascii="仿宋" w:hAnsi="仿宋" w:eastAsia="仿宋" w:cs="仿宋"/>
          <w:b/>
          <w:bCs/>
          <w:color w:val="auto"/>
          <w:sz w:val="32"/>
          <w:szCs w:val="32"/>
          <w:highlight w:val="none"/>
        </w:rPr>
        <w:t>一是加强组织管理。</w:t>
      </w:r>
      <w:r>
        <w:rPr>
          <w:rFonts w:hint="eastAsia" w:ascii="仿宋" w:hAnsi="仿宋" w:eastAsia="仿宋" w:cs="仿宋"/>
          <w:color w:val="auto"/>
          <w:sz w:val="32"/>
          <w:szCs w:val="32"/>
          <w:highlight w:val="none"/>
        </w:rPr>
        <w:t>成立了乡村振兴工作领导小组，保障我区卫生健康乡村振兴各项工作有效落实。</w:t>
      </w:r>
      <w:r>
        <w:rPr>
          <w:rFonts w:hint="eastAsia" w:ascii="仿宋" w:hAnsi="仿宋" w:eastAsia="仿宋" w:cs="仿宋"/>
          <w:b/>
          <w:bCs/>
          <w:color w:val="auto"/>
          <w:sz w:val="32"/>
          <w:szCs w:val="32"/>
          <w:highlight w:val="none"/>
        </w:rPr>
        <w:t>二是健全三级医疗卫生服务体系。</w:t>
      </w:r>
      <w:r>
        <w:rPr>
          <w:rFonts w:hint="eastAsia" w:ascii="仿宋" w:hAnsi="仿宋" w:eastAsia="仿宋" w:cs="仿宋"/>
          <w:color w:val="auto"/>
          <w:sz w:val="32"/>
          <w:szCs w:val="32"/>
          <w:highlight w:val="none"/>
          <w:shd w:val="clear" w:color="auto" w:fill="FFFFFF"/>
        </w:rPr>
        <w:t>标准化乡镇卫生院建设达标率100%；</w:t>
      </w:r>
      <w:r>
        <w:rPr>
          <w:rFonts w:hint="eastAsia" w:ascii="仿宋" w:hAnsi="仿宋" w:eastAsia="仿宋" w:cs="仿宋"/>
          <w:color w:val="auto"/>
          <w:kern w:val="0"/>
          <w:sz w:val="32"/>
          <w:szCs w:val="32"/>
          <w:highlight w:val="none"/>
          <w:shd w:val="clear" w:color="auto" w:fill="FFFFFF"/>
          <w:lang w:bidi="ar"/>
        </w:rPr>
        <w:t>行政村（社区村）20个卫生室标准化建设（含2个社区卫生室），完成率100%；全区共有全科医师17名，达到每个建制乡镇卫生院配备至少2名全科医师的标准；乡村医生21人（含派驻），全部取得乡村医生执业证书或执业助理医师证书，均具备基本医疗和基本公卫服务能力。</w:t>
      </w:r>
      <w:r>
        <w:rPr>
          <w:rFonts w:hint="eastAsia" w:ascii="仿宋" w:hAnsi="仿宋" w:eastAsia="仿宋" w:cs="仿宋"/>
          <w:b/>
          <w:bCs/>
          <w:color w:val="auto"/>
          <w:sz w:val="32"/>
          <w:szCs w:val="32"/>
          <w:highlight w:val="none"/>
        </w:rPr>
        <w:t>三是实现中医药服务基层全覆盖。</w:t>
      </w:r>
      <w:r>
        <w:rPr>
          <w:rFonts w:hint="eastAsia" w:ascii="仿宋" w:hAnsi="仿宋" w:eastAsia="仿宋" w:cs="仿宋"/>
          <w:color w:val="auto"/>
          <w:sz w:val="32"/>
          <w:szCs w:val="32"/>
          <w:highlight w:val="none"/>
          <w:shd w:val="clear" w:color="auto" w:fill="FFFFFF"/>
        </w:rPr>
        <w:t>乡镇卫生院均建设了高血压示范门诊和符合规范的中医馆，20个村（社区）卫生室均建设了高血压监测点，进一步提升了高血压筛查救治能力。</w:t>
      </w:r>
      <w:r>
        <w:rPr>
          <w:rFonts w:hint="eastAsia" w:ascii="仿宋" w:hAnsi="仿宋" w:eastAsia="仿宋" w:cs="仿宋"/>
          <w:b/>
          <w:bCs/>
          <w:color w:val="auto"/>
          <w:sz w:val="32"/>
          <w:szCs w:val="32"/>
          <w:highlight w:val="none"/>
        </w:rPr>
        <w:t>四是做实做细家庭医生签约服务。</w:t>
      </w:r>
      <w:r>
        <w:rPr>
          <w:rFonts w:hint="eastAsia" w:ascii="仿宋" w:hAnsi="仿宋" w:eastAsia="仿宋" w:cs="仿宋"/>
          <w:color w:val="auto"/>
          <w:sz w:val="32"/>
          <w:szCs w:val="32"/>
          <w:highlight w:val="none"/>
          <w:shd w:val="clear" w:color="auto" w:fill="FFFFFF"/>
        </w:rPr>
        <w:t>乡镇卫生院组建11个家医签约服务团队</w:t>
      </w:r>
      <w:r>
        <w:rPr>
          <w:rFonts w:hint="eastAsia" w:ascii="仿宋" w:hAnsi="仿宋" w:eastAsia="仿宋" w:cs="仿宋"/>
          <w:color w:val="auto"/>
          <w:spacing w:val="-20"/>
          <w:sz w:val="32"/>
          <w:szCs w:val="32"/>
          <w:highlight w:val="none"/>
          <w:shd w:val="clear" w:color="auto" w:fill="FFFFFF"/>
        </w:rPr>
        <w:t>，</w:t>
      </w:r>
      <w:r>
        <w:rPr>
          <w:rFonts w:hint="eastAsia" w:ascii="仿宋" w:hAnsi="仿宋" w:eastAsia="仿宋" w:cs="仿宋"/>
          <w:color w:val="auto"/>
          <w:sz w:val="32"/>
          <w:szCs w:val="32"/>
          <w:highlight w:val="none"/>
          <w:shd w:val="clear" w:color="auto" w:fill="FFFFFF"/>
        </w:rPr>
        <w:t>脱贫人口家庭医生签约率100%</w:t>
      </w:r>
      <w:r>
        <w:rPr>
          <w:rFonts w:hint="eastAsia" w:ascii="仿宋" w:hAnsi="仿宋" w:eastAsia="仿宋" w:cs="仿宋"/>
          <w:color w:val="auto"/>
          <w:spacing w:val="-20"/>
          <w:sz w:val="32"/>
          <w:szCs w:val="32"/>
          <w:highlight w:val="none"/>
          <w:shd w:val="clear" w:color="auto" w:fill="FFFFFF"/>
        </w:rPr>
        <w:t>，其中</w:t>
      </w:r>
      <w:r>
        <w:rPr>
          <w:rFonts w:hint="eastAsia" w:ascii="仿宋" w:hAnsi="仿宋" w:eastAsia="仿宋" w:cs="仿宋"/>
          <w:color w:val="auto"/>
          <w:sz w:val="32"/>
          <w:szCs w:val="32"/>
          <w:highlight w:val="none"/>
          <w:shd w:val="clear" w:color="auto" w:fill="FFFFFF"/>
        </w:rPr>
        <w:t>为脱贫人口中“四类”慢病人员签约健康管理服务每年不少于4次（且每季度至少</w:t>
      </w:r>
      <w:r>
        <w:rPr>
          <w:rFonts w:hint="eastAsia" w:ascii="仿宋" w:hAnsi="仿宋" w:eastAsia="仿宋" w:cs="仿宋"/>
          <w:color w:val="auto"/>
          <w:spacing w:val="-20"/>
          <w:sz w:val="32"/>
          <w:szCs w:val="32"/>
          <w:highlight w:val="none"/>
          <w:shd w:val="clear" w:color="auto" w:fill="FFFFFF"/>
        </w:rPr>
        <w:t>1</w:t>
      </w:r>
      <w:r>
        <w:rPr>
          <w:rFonts w:hint="eastAsia" w:ascii="仿宋" w:hAnsi="仿宋" w:eastAsia="仿宋" w:cs="仿宋"/>
          <w:color w:val="auto"/>
          <w:sz w:val="32"/>
          <w:szCs w:val="32"/>
          <w:highlight w:val="none"/>
          <w:shd w:val="clear" w:color="auto" w:fill="FFFFFF"/>
        </w:rPr>
        <w:t>次）。</w:t>
      </w:r>
      <w:r>
        <w:rPr>
          <w:rFonts w:hint="eastAsia" w:ascii="仿宋" w:hAnsi="仿宋" w:eastAsia="仿宋" w:cs="仿宋"/>
          <w:b/>
          <w:bCs/>
          <w:color w:val="auto"/>
          <w:sz w:val="32"/>
          <w:szCs w:val="32"/>
          <w:highlight w:val="none"/>
        </w:rPr>
        <w:t>五是持续开展防返贫风险监测</w:t>
      </w:r>
      <w:r>
        <w:rPr>
          <w:rFonts w:hint="eastAsia" w:ascii="仿宋" w:hAnsi="仿宋" w:eastAsia="仿宋" w:cs="仿宋"/>
          <w:b/>
          <w:bCs/>
          <w:color w:val="auto"/>
          <w:kern w:val="0"/>
          <w:sz w:val="32"/>
          <w:szCs w:val="32"/>
          <w:highlight w:val="none"/>
          <w:shd w:val="clear" w:color="auto" w:fill="FFFFFF"/>
          <w:lang w:bidi="ar"/>
        </w:rPr>
        <w:t>。</w:t>
      </w:r>
      <w:r>
        <w:rPr>
          <w:rFonts w:hint="eastAsia" w:ascii="仿宋" w:hAnsi="仿宋" w:eastAsia="仿宋" w:cs="仿宋"/>
          <w:color w:val="auto"/>
          <w:kern w:val="0"/>
          <w:sz w:val="32"/>
          <w:szCs w:val="32"/>
          <w:highlight w:val="none"/>
          <w:shd w:val="clear" w:color="auto" w:fill="FFFFFF"/>
          <w:lang w:bidi="ar"/>
        </w:rPr>
        <w:t>全面建立对因病致贫或因病返贫风险人员监测体系，加强对边缘户等动态监测管理，积极防范因病返贫致贫风险。</w:t>
      </w:r>
    </w:p>
    <w:p>
      <w:pPr>
        <w:pStyle w:val="3"/>
        <w:widowControl/>
        <w:shd w:val="clear" w:color="auto" w:fill="FFFFFF"/>
        <w:spacing w:before="0" w:beforeAutospacing="0" w:after="0" w:afterAutospacing="0" w:line="580" w:lineRule="exact"/>
        <w:ind w:firstLine="643" w:firstLineChars="200"/>
        <w:jc w:val="both"/>
        <w:rPr>
          <w:rFonts w:hint="eastAsia" w:ascii="仿宋" w:hAnsi="仿宋" w:eastAsia="仿宋" w:cs="仿宋"/>
          <w:b w:val="0"/>
          <w:bCs w:val="0"/>
          <w:color w:val="auto"/>
          <w:kern w:val="0"/>
          <w:sz w:val="32"/>
          <w:szCs w:val="32"/>
          <w:highlight w:val="none"/>
          <w:shd w:val="clear" w:color="auto" w:fill="FFFFFF"/>
          <w:lang w:bidi="ar"/>
        </w:rPr>
      </w:pPr>
      <w:r>
        <w:rPr>
          <w:rFonts w:hint="eastAsia" w:ascii="仿宋" w:hAnsi="仿宋" w:eastAsia="仿宋" w:cs="仿宋"/>
          <w:color w:val="auto"/>
          <w:kern w:val="2"/>
          <w:sz w:val="32"/>
          <w:szCs w:val="32"/>
          <w:highlight w:val="none"/>
        </w:rPr>
        <w:t>（五）践行初心使命，稳步推进卫健事业。</w:t>
      </w:r>
      <w:r>
        <w:rPr>
          <w:rFonts w:hint="eastAsia" w:ascii="仿宋" w:hAnsi="仿宋" w:eastAsia="仿宋" w:cs="仿宋"/>
          <w:b/>
          <w:bCs/>
          <w:color w:val="auto"/>
          <w:kern w:val="0"/>
          <w:sz w:val="32"/>
          <w:szCs w:val="32"/>
          <w:highlight w:val="none"/>
          <w:shd w:val="clear" w:color="auto" w:fill="FFFFFF"/>
          <w:lang w:eastAsia="zh-CN" w:bidi="ar"/>
        </w:rPr>
        <w:t>一是</w:t>
      </w:r>
      <w:r>
        <w:rPr>
          <w:rFonts w:hint="eastAsia" w:ascii="仿宋" w:hAnsi="仿宋" w:eastAsia="仿宋" w:cs="仿宋"/>
          <w:b/>
          <w:bCs/>
          <w:color w:val="auto"/>
          <w:kern w:val="0"/>
          <w:sz w:val="32"/>
          <w:szCs w:val="32"/>
          <w:highlight w:val="none"/>
          <w:shd w:val="clear" w:color="auto" w:fill="FFFFFF"/>
          <w:lang w:bidi="ar"/>
        </w:rPr>
        <w:t>大力开展爱国卫生运动。</w:t>
      </w:r>
      <w:r>
        <w:rPr>
          <w:rFonts w:hint="eastAsia" w:ascii="仿宋" w:hAnsi="仿宋" w:eastAsia="仿宋" w:cs="仿宋"/>
          <w:b w:val="0"/>
          <w:bCs w:val="0"/>
          <w:color w:val="auto"/>
          <w:kern w:val="0"/>
          <w:sz w:val="32"/>
          <w:szCs w:val="32"/>
          <w:highlight w:val="none"/>
          <w:shd w:val="clear" w:color="auto" w:fill="FFFFFF"/>
          <w:lang w:bidi="ar"/>
        </w:rPr>
        <w:t>巩固国家卫生城市及省级健康促进区创建成果，常态化开展环境卫生检查评比活动，今年已开展评比活动29次，下发通报29期，发现存在问题140起，落实整改139起，整改率99.29％；</w:t>
      </w:r>
      <w:r>
        <w:rPr>
          <w:rFonts w:hint="eastAsia" w:ascii="仿宋" w:hAnsi="仿宋" w:eastAsia="仿宋" w:cs="仿宋"/>
          <w:b/>
          <w:bCs/>
          <w:color w:val="auto"/>
          <w:kern w:val="0"/>
          <w:sz w:val="32"/>
          <w:szCs w:val="32"/>
          <w:highlight w:val="none"/>
          <w:shd w:val="clear" w:color="auto" w:fill="FFFFFF"/>
          <w:lang w:eastAsia="zh-CN" w:bidi="ar"/>
        </w:rPr>
        <w:t>二是</w:t>
      </w:r>
      <w:r>
        <w:rPr>
          <w:rFonts w:hint="eastAsia" w:ascii="仿宋" w:hAnsi="仿宋" w:eastAsia="仿宋" w:cs="仿宋"/>
          <w:b/>
          <w:bCs/>
          <w:color w:val="auto"/>
          <w:kern w:val="0"/>
          <w:sz w:val="32"/>
          <w:szCs w:val="32"/>
          <w:highlight w:val="none"/>
          <w:shd w:val="clear" w:color="auto" w:fill="FFFFFF"/>
          <w:lang w:bidi="ar"/>
        </w:rPr>
        <w:t>虚心听取人大政协以及群众意见。</w:t>
      </w:r>
      <w:r>
        <w:rPr>
          <w:rFonts w:hint="eastAsia" w:ascii="仿宋" w:hAnsi="仿宋" w:eastAsia="仿宋" w:cs="仿宋"/>
          <w:b w:val="0"/>
          <w:bCs w:val="0"/>
          <w:color w:val="auto"/>
          <w:kern w:val="0"/>
          <w:sz w:val="32"/>
          <w:szCs w:val="32"/>
          <w:highlight w:val="none"/>
          <w:shd w:val="clear" w:color="auto" w:fill="FFFFFF"/>
          <w:lang w:bidi="ar"/>
        </w:rPr>
        <w:t>办理市、区人大建议和政协提案5件，办复率、满意率100%，受理群众投诉举报18件，时限内办复率100%；</w:t>
      </w:r>
      <w:r>
        <w:rPr>
          <w:rFonts w:hint="eastAsia" w:ascii="仿宋" w:hAnsi="仿宋" w:eastAsia="仿宋" w:cs="仿宋"/>
          <w:b/>
          <w:bCs/>
          <w:color w:val="auto"/>
          <w:kern w:val="0"/>
          <w:sz w:val="32"/>
          <w:szCs w:val="32"/>
          <w:highlight w:val="none"/>
          <w:shd w:val="clear" w:color="auto" w:fill="FFFFFF"/>
          <w:lang w:eastAsia="zh-CN" w:bidi="ar"/>
        </w:rPr>
        <w:t>三是</w:t>
      </w:r>
      <w:r>
        <w:rPr>
          <w:rFonts w:hint="eastAsia" w:ascii="仿宋" w:hAnsi="仿宋" w:eastAsia="仿宋" w:cs="仿宋"/>
          <w:b/>
          <w:bCs/>
          <w:color w:val="auto"/>
          <w:kern w:val="0"/>
          <w:sz w:val="32"/>
          <w:szCs w:val="32"/>
          <w:highlight w:val="none"/>
          <w:shd w:val="clear" w:color="auto" w:fill="FFFFFF"/>
          <w:lang w:bidi="ar"/>
        </w:rPr>
        <w:t>计生服务水平持续提高。</w:t>
      </w:r>
      <w:r>
        <w:rPr>
          <w:rFonts w:hint="eastAsia" w:ascii="仿宋" w:hAnsi="仿宋" w:eastAsia="仿宋" w:cs="仿宋"/>
          <w:b w:val="0"/>
          <w:bCs w:val="0"/>
          <w:color w:val="auto"/>
          <w:kern w:val="0"/>
          <w:sz w:val="32"/>
          <w:szCs w:val="32"/>
          <w:highlight w:val="none"/>
          <w:shd w:val="clear" w:color="auto" w:fill="FFFFFF"/>
          <w:lang w:bidi="ar"/>
        </w:rPr>
        <w:t>2021年度共有农村计生奖扶人员482人，计生特扶对象69人，手术并发症1人，独生子女保健费发放对象69人，已发放独生子女保健费2.484万元；财政出资3.037万元为70名计生特殊家庭对象购买了计生综合健康险和住院护理保险，为全区1882户城乡独生子女、两女户家庭购买计生家意险，金额为26.348万元；</w:t>
      </w:r>
      <w:r>
        <w:rPr>
          <w:rFonts w:hint="eastAsia" w:ascii="仿宋" w:hAnsi="仿宋" w:eastAsia="仿宋" w:cs="仿宋"/>
          <w:b/>
          <w:bCs/>
          <w:color w:val="auto"/>
          <w:kern w:val="0"/>
          <w:sz w:val="32"/>
          <w:szCs w:val="32"/>
          <w:highlight w:val="none"/>
          <w:shd w:val="clear" w:color="auto" w:fill="FFFFFF"/>
          <w:lang w:eastAsia="zh-CN" w:bidi="ar"/>
        </w:rPr>
        <w:t>四是积极应对老龄化，推进老龄健康工作。</w:t>
      </w:r>
      <w:r>
        <w:rPr>
          <w:rFonts w:hint="eastAsia" w:ascii="仿宋" w:hAnsi="仿宋" w:eastAsia="仿宋" w:cs="仿宋"/>
          <w:b w:val="0"/>
          <w:bCs w:val="0"/>
          <w:color w:val="auto"/>
          <w:kern w:val="0"/>
          <w:sz w:val="32"/>
          <w:szCs w:val="32"/>
          <w:highlight w:val="none"/>
          <w:shd w:val="clear" w:color="auto" w:fill="FFFFFF"/>
          <w:lang w:eastAsia="zh-CN" w:bidi="ar"/>
        </w:rPr>
        <w:t>祝融街道社区卫生服务中心</w:t>
      </w:r>
      <w:r>
        <w:rPr>
          <w:rFonts w:hint="eastAsia" w:ascii="仿宋" w:hAnsi="仿宋" w:eastAsia="仿宋" w:cs="仿宋"/>
          <w:b w:val="0"/>
          <w:bCs w:val="0"/>
          <w:color w:val="auto"/>
          <w:kern w:val="0"/>
          <w:sz w:val="32"/>
          <w:szCs w:val="32"/>
          <w:highlight w:val="none"/>
          <w:shd w:val="clear" w:color="auto" w:fill="FFFFFF"/>
          <w:lang w:val="en-US" w:eastAsia="zh-CN" w:bidi="ar"/>
        </w:rPr>
        <w:t>11月底被市卫健委确认为</w:t>
      </w:r>
      <w:r>
        <w:rPr>
          <w:rFonts w:hint="eastAsia" w:ascii="仿宋" w:hAnsi="仿宋" w:eastAsia="仿宋" w:cs="仿宋"/>
          <w:b w:val="0"/>
          <w:bCs w:val="0"/>
          <w:color w:val="auto"/>
          <w:kern w:val="0"/>
          <w:sz w:val="32"/>
          <w:szCs w:val="32"/>
          <w:highlight w:val="none"/>
          <w:shd w:val="clear" w:color="auto" w:fill="FFFFFF"/>
          <w:lang w:bidi="ar"/>
        </w:rPr>
        <w:t>老年友善医院</w:t>
      </w:r>
      <w:r>
        <w:rPr>
          <w:rFonts w:hint="eastAsia" w:ascii="仿宋" w:hAnsi="仿宋" w:eastAsia="仿宋" w:cs="仿宋"/>
          <w:b w:val="0"/>
          <w:bCs w:val="0"/>
          <w:color w:val="auto"/>
          <w:kern w:val="0"/>
          <w:sz w:val="32"/>
          <w:szCs w:val="32"/>
          <w:highlight w:val="none"/>
          <w:shd w:val="clear" w:color="auto" w:fill="FFFFFF"/>
          <w:lang w:eastAsia="zh-CN" w:bidi="ar"/>
        </w:rPr>
        <w:t>，</w:t>
      </w:r>
      <w:r>
        <w:rPr>
          <w:rFonts w:hint="eastAsia" w:ascii="仿宋" w:hAnsi="仿宋" w:eastAsia="仿宋" w:cs="仿宋"/>
          <w:b w:val="0"/>
          <w:bCs w:val="0"/>
          <w:color w:val="auto"/>
          <w:kern w:val="0"/>
          <w:sz w:val="32"/>
          <w:szCs w:val="32"/>
          <w:highlight w:val="none"/>
          <w:shd w:val="clear" w:color="auto" w:fill="FFFFFF"/>
          <w:lang w:val="en-US" w:eastAsia="zh-CN" w:bidi="ar"/>
        </w:rPr>
        <w:t>统筹做好了老龄维权、健康宣传、老年人意外伤害保险等工作，扎实推进《老年人优待证》办理和基层老年协会工作</w:t>
      </w:r>
      <w:r>
        <w:rPr>
          <w:rFonts w:hint="eastAsia" w:ascii="仿宋" w:hAnsi="仿宋" w:eastAsia="仿宋" w:cs="仿宋"/>
          <w:b w:val="0"/>
          <w:bCs w:val="0"/>
          <w:color w:val="auto"/>
          <w:kern w:val="0"/>
          <w:sz w:val="32"/>
          <w:szCs w:val="32"/>
          <w:highlight w:val="none"/>
          <w:shd w:val="clear" w:color="auto" w:fill="FFFFFF"/>
          <w:lang w:eastAsia="zh-CN" w:bidi="ar"/>
        </w:rPr>
        <w:t>，</w:t>
      </w:r>
      <w:r>
        <w:rPr>
          <w:rFonts w:hint="eastAsia" w:ascii="仿宋" w:hAnsi="仿宋" w:eastAsia="仿宋" w:cs="仿宋"/>
          <w:b w:val="0"/>
          <w:bCs w:val="0"/>
          <w:color w:val="auto"/>
          <w:kern w:val="0"/>
          <w:sz w:val="32"/>
          <w:szCs w:val="32"/>
          <w:highlight w:val="none"/>
          <w:shd w:val="clear" w:color="auto" w:fill="FFFFFF"/>
          <w:lang w:bidi="ar"/>
        </w:rPr>
        <w:t>推进老年人便利就医服务和智慧助老活动。</w:t>
      </w:r>
      <w:r>
        <w:rPr>
          <w:rFonts w:hint="eastAsia" w:ascii="仿宋" w:hAnsi="仿宋" w:eastAsia="仿宋" w:cs="仿宋"/>
          <w:b/>
          <w:bCs/>
          <w:color w:val="auto"/>
          <w:kern w:val="0"/>
          <w:sz w:val="32"/>
          <w:szCs w:val="32"/>
          <w:highlight w:val="none"/>
          <w:shd w:val="clear" w:color="auto" w:fill="FFFFFF"/>
          <w:lang w:eastAsia="zh-CN" w:bidi="ar"/>
        </w:rPr>
        <w:t>五是</w:t>
      </w:r>
      <w:r>
        <w:rPr>
          <w:rFonts w:hint="eastAsia" w:ascii="仿宋" w:hAnsi="仿宋" w:eastAsia="仿宋" w:cs="仿宋"/>
          <w:b/>
          <w:bCs/>
          <w:color w:val="auto"/>
          <w:kern w:val="0"/>
          <w:sz w:val="32"/>
          <w:szCs w:val="32"/>
          <w:highlight w:val="none"/>
          <w:shd w:val="clear" w:color="auto" w:fill="FFFFFF"/>
          <w:lang w:bidi="ar"/>
        </w:rPr>
        <w:t>做好母婴设施标准化建设。</w:t>
      </w:r>
      <w:r>
        <w:rPr>
          <w:rFonts w:hint="eastAsia" w:ascii="仿宋" w:hAnsi="仿宋" w:eastAsia="仿宋" w:cs="仿宋"/>
          <w:b w:val="0"/>
          <w:bCs w:val="0"/>
          <w:color w:val="auto"/>
          <w:kern w:val="0"/>
          <w:sz w:val="32"/>
          <w:szCs w:val="32"/>
          <w:highlight w:val="none"/>
          <w:shd w:val="clear" w:color="auto" w:fill="FFFFFF"/>
          <w:lang w:bidi="ar"/>
        </w:rPr>
        <w:t>游客服务中心、南天门景点等6处公共母婴室（母婴室或第三洗手间）全部开放投入使用，全区所有应配置母婴设施的公共场所基本建成母婴设施；</w:t>
      </w:r>
      <w:r>
        <w:rPr>
          <w:rFonts w:hint="eastAsia" w:ascii="仿宋" w:hAnsi="仿宋" w:eastAsia="仿宋" w:cs="仿宋"/>
          <w:b/>
          <w:bCs/>
          <w:color w:val="auto"/>
          <w:kern w:val="0"/>
          <w:sz w:val="32"/>
          <w:szCs w:val="32"/>
          <w:highlight w:val="none"/>
          <w:shd w:val="clear" w:color="auto" w:fill="FFFFFF"/>
          <w:lang w:eastAsia="zh-CN" w:bidi="ar"/>
        </w:rPr>
        <w:t>六是持续加大卫生监督执法力度，切实维护人民群众健康权益。</w:t>
      </w:r>
      <w:r>
        <w:rPr>
          <w:rFonts w:hint="eastAsia" w:ascii="仿宋" w:hAnsi="仿宋" w:eastAsia="仿宋" w:cs="仿宋"/>
          <w:b w:val="0"/>
          <w:bCs w:val="0"/>
          <w:color w:val="auto"/>
          <w:kern w:val="0"/>
          <w:sz w:val="32"/>
          <w:szCs w:val="32"/>
          <w:highlight w:val="none"/>
          <w:shd w:val="clear" w:color="auto" w:fill="FFFFFF"/>
          <w:lang w:eastAsia="zh-CN" w:bidi="ar"/>
        </w:rPr>
        <w:t>截止12月6日，已完成辖区内516家公共场所、19所中小学校、16所托幼机构、52家医疗机构、10家职业卫生单位、6家城市集中式供水及二次供水单位的日常监督工作，共查处违法行为12起，累计罚款8300元；</w:t>
      </w:r>
      <w:r>
        <w:rPr>
          <w:rFonts w:hint="eastAsia" w:ascii="仿宋" w:hAnsi="仿宋" w:eastAsia="仿宋" w:cs="仿宋"/>
          <w:b/>
          <w:bCs/>
          <w:color w:val="auto"/>
          <w:kern w:val="0"/>
          <w:sz w:val="32"/>
          <w:szCs w:val="32"/>
          <w:highlight w:val="none"/>
          <w:shd w:val="clear" w:color="auto" w:fill="FFFFFF"/>
          <w:lang w:eastAsia="zh-CN" w:bidi="ar"/>
        </w:rPr>
        <w:t>七是</w:t>
      </w:r>
      <w:r>
        <w:rPr>
          <w:rFonts w:hint="eastAsia" w:ascii="仿宋" w:hAnsi="仿宋" w:eastAsia="仿宋" w:cs="仿宋"/>
          <w:b w:val="0"/>
          <w:bCs w:val="0"/>
          <w:color w:val="auto"/>
          <w:kern w:val="0"/>
          <w:sz w:val="32"/>
          <w:szCs w:val="32"/>
          <w:highlight w:val="none"/>
          <w:shd w:val="clear" w:color="auto" w:fill="FFFFFF"/>
          <w:lang w:eastAsia="zh-CN" w:bidi="ar"/>
        </w:rPr>
        <w:t>加强公共卫生应急体系和能力建设，完善突发公共卫生事件监测预警处置机制。今年预警信号40次，经流调排查，排除39起，1起病原学阴性为疑似事件；加强突发公共卫生与传染病疫情监测信息报告管理工作，健</w:t>
      </w:r>
      <w:r>
        <w:rPr>
          <w:rFonts w:hint="eastAsia" w:ascii="仿宋" w:hAnsi="仿宋" w:eastAsia="仿宋" w:cs="仿宋"/>
          <w:b w:val="0"/>
          <w:bCs w:val="0"/>
          <w:color w:val="auto"/>
          <w:kern w:val="0"/>
          <w:sz w:val="32"/>
          <w:szCs w:val="32"/>
          <w:highlight w:val="none"/>
          <w:shd w:val="clear" w:color="auto" w:fill="FFFFFF"/>
          <w:lang w:bidi="ar"/>
        </w:rPr>
        <w:t>全疫情管理组织，制定了疫情报告制度，加强了疫情报告人的业务培训，安排专人负责网络直报的审核工作，确保疫情报出后2小时内及时审核，今年我区未发生聚集性疫情。</w:t>
      </w:r>
      <w:r>
        <w:rPr>
          <w:rFonts w:hint="eastAsia" w:ascii="仿宋" w:hAnsi="仿宋" w:eastAsia="仿宋" w:cs="仿宋"/>
          <w:b/>
          <w:bCs/>
          <w:color w:val="auto"/>
          <w:kern w:val="0"/>
          <w:sz w:val="32"/>
          <w:szCs w:val="32"/>
          <w:highlight w:val="none"/>
          <w:shd w:val="clear" w:color="auto" w:fill="FFFFFF"/>
          <w:lang w:eastAsia="zh-CN" w:bidi="ar"/>
        </w:rPr>
        <w:t>八是</w:t>
      </w:r>
      <w:r>
        <w:rPr>
          <w:rFonts w:hint="eastAsia" w:ascii="仿宋" w:hAnsi="仿宋" w:eastAsia="仿宋" w:cs="仿宋"/>
          <w:b w:val="0"/>
          <w:bCs w:val="0"/>
          <w:color w:val="auto"/>
          <w:kern w:val="0"/>
          <w:sz w:val="32"/>
          <w:szCs w:val="32"/>
          <w:highlight w:val="none"/>
          <w:shd w:val="clear" w:color="auto" w:fill="FFFFFF"/>
          <w:lang w:bidi="ar"/>
        </w:rPr>
        <w:t>做好安全生产、禁毒、扫黑除恶、景区医疗救护、食品安全等底线工作，全年无重大安全事件。</w:t>
      </w:r>
    </w:p>
    <w:p>
      <w:pPr>
        <w:widowControl/>
        <w:spacing w:line="600" w:lineRule="exact"/>
        <w:ind w:firstLine="640" w:firstLineChars="200"/>
        <w:jc w:val="left"/>
        <w:rPr>
          <w:rFonts w:ascii="Times New Roman" w:hAnsi="Times New Roman" w:eastAsia="黑体" w:cs="Times New Roman"/>
          <w:sz w:val="32"/>
          <w:szCs w:val="32"/>
        </w:rPr>
      </w:pPr>
      <w:r>
        <w:rPr>
          <w:rFonts w:hint="eastAsia" w:ascii="Times New Roman" w:hAnsi="Times New Roman" w:eastAsia="黑体" w:cs="Times New Roman"/>
          <w:sz w:val="32"/>
          <w:szCs w:val="32"/>
          <w:lang w:eastAsia="zh-CN"/>
        </w:rPr>
        <w:t>四</w:t>
      </w:r>
      <w:r>
        <w:rPr>
          <w:rFonts w:hint="eastAsia" w:ascii="Times New Roman" w:hAnsi="Times New Roman" w:eastAsia="黑体" w:cs="Times New Roman"/>
          <w:sz w:val="32"/>
          <w:szCs w:val="32"/>
        </w:rPr>
        <w:t>、</w:t>
      </w:r>
      <w:r>
        <w:rPr>
          <w:rFonts w:ascii="Times New Roman" w:hAnsi="Times New Roman" w:eastAsia="黑体" w:cs="Times New Roman"/>
          <w:sz w:val="32"/>
          <w:szCs w:val="32"/>
        </w:rPr>
        <w:t>存在的问题及原因分析</w:t>
      </w:r>
    </w:p>
    <w:p>
      <w:pPr>
        <w:spacing w:line="600" w:lineRule="exact"/>
        <w:ind w:firstLine="640" w:firstLineChars="200"/>
        <w:rPr>
          <w:rFonts w:eastAsia="仿宋_GB2312"/>
          <w:sz w:val="32"/>
          <w:szCs w:val="32"/>
        </w:rPr>
      </w:pPr>
      <w:r>
        <w:rPr>
          <w:rFonts w:eastAsia="仿宋_GB2312"/>
          <w:sz w:val="32"/>
          <w:szCs w:val="32"/>
        </w:rPr>
        <w:t>通过前述对我</w:t>
      </w:r>
      <w:r>
        <w:rPr>
          <w:rFonts w:hint="eastAsia" w:eastAsia="仿宋_GB2312"/>
          <w:sz w:val="32"/>
          <w:szCs w:val="32"/>
          <w:lang w:val="en-US" w:eastAsia="zh-CN"/>
        </w:rPr>
        <w:t>局</w:t>
      </w:r>
      <w:r>
        <w:rPr>
          <w:rFonts w:eastAsia="仿宋_GB2312"/>
          <w:sz w:val="32"/>
          <w:szCs w:val="32"/>
        </w:rPr>
        <w:t>整体支出情况的分析，反映出目前整体支出主要在预算执行方面还存在一些问题和不足：</w:t>
      </w:r>
    </w:p>
    <w:p>
      <w:pPr>
        <w:numPr>
          <w:ilvl w:val="0"/>
          <w:numId w:val="0"/>
        </w:numPr>
        <w:spacing w:line="600" w:lineRule="exact"/>
        <w:ind w:firstLine="640" w:firstLineChars="200"/>
        <w:rPr>
          <w:rFonts w:hint="eastAsia" w:eastAsia="仿宋_GB2312"/>
          <w:sz w:val="32"/>
          <w:szCs w:val="32"/>
          <w:lang w:eastAsia="zh-CN"/>
        </w:rPr>
      </w:pPr>
      <w:r>
        <w:rPr>
          <w:rFonts w:hint="eastAsia" w:eastAsia="仿宋_GB2312"/>
          <w:sz w:val="32"/>
          <w:szCs w:val="32"/>
          <w:lang w:eastAsia="zh-CN"/>
        </w:rPr>
        <w:t>受疫情影响，部分项目启动较晚，实施周期相对较长，导致项目验收晚，预算执行进度偏慢，相对比较集中。</w:t>
      </w:r>
      <w:r>
        <w:rPr>
          <w:rFonts w:hint="eastAsia" w:eastAsia="仿宋_GB2312"/>
          <w:sz w:val="32"/>
          <w:szCs w:val="32"/>
          <w:lang w:val="en-US" w:eastAsia="zh-CN"/>
        </w:rPr>
        <w:t>我们将在下年予以重视，督促项目实施单位早启动、早实施、早验收，对符合条件的项目按照项目进度支付相关款项。</w:t>
      </w:r>
    </w:p>
    <w:p>
      <w:pPr>
        <w:widowControl/>
        <w:numPr>
          <w:ilvl w:val="0"/>
          <w:numId w:val="3"/>
        </w:numPr>
        <w:spacing w:line="600"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下一步改进措施</w:t>
      </w:r>
    </w:p>
    <w:p>
      <w:pPr>
        <w:spacing w:line="600" w:lineRule="exact"/>
        <w:ind w:firstLine="640" w:firstLineChars="200"/>
        <w:rPr>
          <w:rFonts w:eastAsia="仿宋_GB2312"/>
          <w:sz w:val="32"/>
          <w:szCs w:val="32"/>
        </w:rPr>
      </w:pPr>
      <w:r>
        <w:rPr>
          <w:rFonts w:eastAsia="仿宋_GB2312"/>
          <w:sz w:val="32"/>
          <w:szCs w:val="32"/>
        </w:rPr>
        <w:t>针对上述存在的问题，拟采取以下改进措施：</w:t>
      </w:r>
    </w:p>
    <w:p>
      <w:pPr>
        <w:widowControl/>
        <w:numPr>
          <w:ilvl w:val="0"/>
          <w:numId w:val="0"/>
        </w:numPr>
        <w:spacing w:line="600" w:lineRule="exact"/>
        <w:ind w:firstLine="640" w:firstLineChars="200"/>
        <w:jc w:val="left"/>
        <w:rPr>
          <w:rFonts w:hint="default" w:ascii="宋体" w:hAnsi="宋体" w:eastAsia="宋体" w:cs="宋体"/>
          <w:sz w:val="30"/>
          <w:szCs w:val="30"/>
          <w:lang w:val="en-US" w:eastAsia="zh-CN"/>
        </w:rPr>
      </w:pPr>
      <w:r>
        <w:rPr>
          <w:rFonts w:hint="eastAsia" w:ascii="仿宋_GB2312" w:hAnsi="仿宋_GB2312" w:eastAsia="仿宋_GB2312" w:cs="仿宋_GB2312"/>
          <w:b w:val="0"/>
          <w:bCs/>
          <w:sz w:val="32"/>
          <w:szCs w:val="32"/>
          <w:lang w:val="en-US" w:eastAsia="zh-CN"/>
        </w:rPr>
        <w:t>强化预算管理，定期开展预算执行分析。</w:t>
      </w:r>
      <w:r>
        <w:rPr>
          <w:rFonts w:hint="eastAsia" w:eastAsia="仿宋_GB2312"/>
          <w:sz w:val="32"/>
          <w:szCs w:val="32"/>
          <w:lang w:val="en-US" w:eastAsia="zh-CN"/>
        </w:rPr>
        <w:t>通过定期对项目实施和预算执行情况进行梳理，及时掌握项目进度，督促项目实施单位早启动、早实施、早验收，对符合条件的项目按照项目进度支付相关款项，将预算资金管理贯穿于项目实施全过程中。对未启动项目及时分析原因，根据资金使用情况调整下年预算安排。</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moder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C2F793E"/>
    <w:multiLevelType w:val="singleLevel"/>
    <w:tmpl w:val="9C2F793E"/>
    <w:lvl w:ilvl="0" w:tentative="0">
      <w:start w:val="1"/>
      <w:numFmt w:val="chineseCounting"/>
      <w:suff w:val="nothing"/>
      <w:lvlText w:val="（%1）"/>
      <w:lvlJc w:val="left"/>
      <w:rPr>
        <w:rFonts w:hint="eastAsia"/>
      </w:rPr>
    </w:lvl>
  </w:abstractNum>
  <w:abstractNum w:abstractNumId="1">
    <w:nsid w:val="F639CCF1"/>
    <w:multiLevelType w:val="singleLevel"/>
    <w:tmpl w:val="F639CCF1"/>
    <w:lvl w:ilvl="0" w:tentative="0">
      <w:start w:val="2"/>
      <w:numFmt w:val="chineseCounting"/>
      <w:suff w:val="nothing"/>
      <w:lvlText w:val="%1、"/>
      <w:lvlJc w:val="left"/>
      <w:rPr>
        <w:rFonts w:hint="eastAsia"/>
      </w:rPr>
    </w:lvl>
  </w:abstractNum>
  <w:abstractNum w:abstractNumId="2">
    <w:nsid w:val="692A871F"/>
    <w:multiLevelType w:val="singleLevel"/>
    <w:tmpl w:val="692A871F"/>
    <w:lvl w:ilvl="0" w:tentative="0">
      <w:start w:val="5"/>
      <w:numFmt w:val="chineseCounting"/>
      <w:suff w:val="nothing"/>
      <w:lvlText w:val="%1、"/>
      <w:lvlJc w:val="left"/>
      <w:rPr>
        <w:rFonts w:hint="eastAsi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RlNzhjZDIxNDNlYzg2ZmQ1NWU2NDI5MGJkMGE4YmUifQ=="/>
  </w:docVars>
  <w:rsids>
    <w:rsidRoot w:val="58E06247"/>
    <w:rsid w:val="00881676"/>
    <w:rsid w:val="04EC3494"/>
    <w:rsid w:val="05C07B0D"/>
    <w:rsid w:val="0B5D4671"/>
    <w:rsid w:val="13467ACC"/>
    <w:rsid w:val="149B2A0B"/>
    <w:rsid w:val="20E67351"/>
    <w:rsid w:val="218D48F0"/>
    <w:rsid w:val="28606852"/>
    <w:rsid w:val="29EF7861"/>
    <w:rsid w:val="2D9559D4"/>
    <w:rsid w:val="30BE2A8F"/>
    <w:rsid w:val="429F3322"/>
    <w:rsid w:val="43102595"/>
    <w:rsid w:val="468966CB"/>
    <w:rsid w:val="4A1504A0"/>
    <w:rsid w:val="4E5103EA"/>
    <w:rsid w:val="4E573A0C"/>
    <w:rsid w:val="51922AA9"/>
    <w:rsid w:val="52C14B04"/>
    <w:rsid w:val="548A7016"/>
    <w:rsid w:val="55A02E49"/>
    <w:rsid w:val="58E06247"/>
    <w:rsid w:val="594352B9"/>
    <w:rsid w:val="64A2122F"/>
    <w:rsid w:val="6713109A"/>
    <w:rsid w:val="67B42849"/>
    <w:rsid w:val="6A670AA4"/>
    <w:rsid w:val="6C474C68"/>
    <w:rsid w:val="6EA168B2"/>
    <w:rsid w:val="71BD756A"/>
    <w:rsid w:val="751B67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spacing w:before="100" w:beforeAutospacing="1" w:after="100" w:afterAutospacing="1"/>
      <w:jc w:val="left"/>
      <w:outlineLvl w:val="0"/>
    </w:pPr>
    <w:rPr>
      <w:rFonts w:hint="eastAsia" w:ascii="宋体" w:hAnsi="宋体" w:eastAsia="宋体" w:cs="宋体"/>
      <w:b/>
      <w:bCs/>
      <w:kern w:val="44"/>
      <w:sz w:val="48"/>
      <w:szCs w:val="48"/>
      <w:lang w:val="en-US" w:eastAsia="zh-CN" w:bidi="ar"/>
    </w:rPr>
  </w:style>
  <w:style w:type="character" w:default="1" w:styleId="8">
    <w:name w:val="Default Paragraph Font"/>
    <w:semiHidden/>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No Spacing"/>
    <w:qFormat/>
    <w:uiPriority w:val="1"/>
    <w:pPr>
      <w:adjustRightInd w:val="0"/>
      <w:snapToGrid w:val="0"/>
      <w:jc w:val="both"/>
    </w:pPr>
    <w:rPr>
      <w:rFonts w:ascii="Tahoma" w:hAnsi="Tahoma" w:eastAsia="仿宋" w:cs="Times New Roman"/>
      <w:sz w:val="32"/>
      <w:szCs w:val="22"/>
      <w:lang w:val="en-US" w:eastAsia="zh-CN" w:bidi="ar-SA"/>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9">
    <w:name w:val="annotation reference"/>
    <w:semiHidden/>
    <w:qFormat/>
    <w:uiPriority w:val="0"/>
    <w:rPr>
      <w:sz w:val="21"/>
      <w:szCs w:val="21"/>
    </w:rPr>
  </w:style>
  <w:style w:type="paragraph" w:customStyle="1" w:styleId="10">
    <w:name w:val="样式3"/>
    <w:basedOn w:val="1"/>
    <w:qFormat/>
    <w:uiPriority w:val="0"/>
    <w:rPr>
      <w:rFonts w:ascii="Times New Roman" w:hAnsi="Times New Roman" w:eastAsia="仿宋_GB2312" w:cs="Times New Roman"/>
      <w:spacing w:val="113"/>
      <w:sz w:val="32"/>
    </w:rPr>
  </w:style>
  <w:style w:type="paragraph" w:customStyle="1" w:styleId="11">
    <w:name w:val="样式4"/>
    <w:basedOn w:val="1"/>
    <w:qFormat/>
    <w:uiPriority w:val="0"/>
    <w:rPr>
      <w:rFonts w:ascii="Times New Roman" w:hAnsi="Times New Roman" w:eastAsia="仿宋_GB2312" w:cs="Times New Roman"/>
      <w:snapToGrid w:val="0"/>
      <w:spacing w:val="79"/>
      <w:sz w:val="32"/>
    </w:rPr>
  </w:style>
  <w:style w:type="paragraph" w:customStyle="1" w:styleId="12">
    <w:name w:val="样式6"/>
    <w:basedOn w:val="1"/>
    <w:qFormat/>
    <w:uiPriority w:val="0"/>
    <w:rPr>
      <w:rFonts w:ascii="Times New Roman" w:hAnsi="Times New Roman" w:eastAsia="仿宋_GB2312" w:cs="Times New Roman"/>
      <w:spacing w:val="57"/>
      <w:sz w:val="32"/>
    </w:rPr>
  </w:style>
  <w:style w:type="paragraph" w:customStyle="1" w:styleId="13">
    <w:name w:val="p0"/>
    <w:basedOn w:val="1"/>
    <w:qFormat/>
    <w:uiPriority w:val="0"/>
    <w:pPr>
      <w:widowControl/>
      <w:jc w:val="left"/>
    </w:pPr>
    <w:rPr>
      <w:rFonts w:ascii="宋体" w:hAnsi="宋体" w:cs="宋体"/>
      <w:kern w:val="0"/>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5592</Words>
  <Characters>5810</Characters>
  <Lines>0</Lines>
  <Paragraphs>0</Paragraphs>
  <TotalTime>5</TotalTime>
  <ScaleCrop>false</ScaleCrop>
  <LinksUpToDate>false</LinksUpToDate>
  <CharactersWithSpaces>5818</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2020-10-27T13:06:00Z</dcterms:created>
  <dc:creator>Administrator</dc:creator>
  <cp:lastModifiedBy>lenovo</cp:lastModifiedBy>
  <cp:lastPrinted>2021-12-03T03:27:00Z</cp:lastPrinted>
  <dcterms:modified xsi:type="dcterms:W3CDTF">2022-08-12T08:47:39Z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DA1EF0B7EF2B4B9F8FCA574F717BD2D2</vt:lpwstr>
  </property>
</Properties>
</file>