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南岳区纪委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 国务院关于全面实施预算绩效管理的意见》的文件精神，我</w:t>
      </w:r>
      <w:r>
        <w:rPr>
          <w:rFonts w:hint="eastAsia" w:eastAsia="仿宋_GB2312"/>
          <w:sz w:val="32"/>
          <w:szCs w:val="32"/>
          <w:lang w:eastAsia="zh-CN"/>
        </w:rPr>
        <w:t>委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区纪委主要任务是维护党的章程和其他党内法规，检查党的路线、方针、政策和决议的执行情况，协助党委加强党风建设和组织协调反腐败工作。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区监委主要任务维护宪法和法律法规权威；依法监察公职人员行使公权力情况，调查职务违法和职务犯罪；开展廉政建设和反腐败工作。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南岳纪委监委合署办公，实行两块牌子一套人马，下设财务监察所，机关内设8室,包括：办公室、党风政风监督室、案件监督管理室、案件审理室、信访室、第一纪检监察室、第二纪检监察室、纪检监察干部监督室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年末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，我委编制人数48人，</w:t>
      </w:r>
      <w:bookmarkStart w:id="0" w:name="_GoBack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其中行政编制25人，全额事业编制23人</w:t>
      </w:r>
      <w:bookmarkEnd w:id="0"/>
      <w:r>
        <w:rPr>
          <w:rFonts w:eastAsia="仿宋_GB2312"/>
          <w:sz w:val="32"/>
          <w:szCs w:val="32"/>
        </w:rPr>
        <w:t>。年末实有在职人员</w:t>
      </w:r>
      <w:r>
        <w:rPr>
          <w:rFonts w:hint="eastAsia" w:eastAsia="仿宋_GB2312"/>
          <w:sz w:val="32"/>
          <w:szCs w:val="32"/>
          <w:lang w:val="en-US" w:eastAsia="zh-CN"/>
        </w:rPr>
        <w:t>38</w:t>
      </w:r>
      <w:r>
        <w:rPr>
          <w:rFonts w:eastAsia="仿宋_GB2312"/>
          <w:sz w:val="32"/>
          <w:szCs w:val="32"/>
        </w:rPr>
        <w:t>人，离</w:t>
      </w:r>
      <w:r>
        <w:rPr>
          <w:rFonts w:hint="eastAsia" w:eastAsia="仿宋_GB2312"/>
          <w:sz w:val="32"/>
          <w:szCs w:val="32"/>
          <w:lang w:val="en-US" w:eastAsia="zh-CN"/>
        </w:rPr>
        <w:t>退</w:t>
      </w:r>
      <w:r>
        <w:rPr>
          <w:rFonts w:eastAsia="仿宋_GB2312"/>
          <w:sz w:val="32"/>
          <w:szCs w:val="32"/>
        </w:rPr>
        <w:t>休人员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hint="eastAsia" w:eastAsia="仿宋_GB2312"/>
          <w:sz w:val="32"/>
          <w:szCs w:val="32"/>
          <w:lang w:val="en-US" w:eastAsia="zh-CN"/>
        </w:rPr>
        <w:t>委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年基本支出</w:t>
      </w:r>
      <w:r>
        <w:rPr>
          <w:rFonts w:hint="eastAsia" w:eastAsia="仿宋_GB2312"/>
          <w:sz w:val="32"/>
          <w:szCs w:val="32"/>
          <w:lang w:val="en-US" w:eastAsia="zh-CN"/>
        </w:rPr>
        <w:t>650.71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  <w:lang w:val="en-US" w:eastAsia="zh-CN"/>
        </w:rPr>
        <w:t>增加27.92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550.09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85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100.62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。均按财政部门要求进行使用和管理。其中“三公”经费的使用和管理严格规范，接待费支出完全按照省市关于公务接待的有关文件执行，202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年度我委没有因公出国（境）情况，彻落实厉行节约、严控“三公”经费。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hint="eastAsia" w:eastAsia="仿宋_GB2312"/>
          <w:sz w:val="32"/>
          <w:szCs w:val="32"/>
          <w:lang w:val="en-US" w:eastAsia="zh-CN"/>
        </w:rPr>
        <w:t>委</w:t>
      </w:r>
      <w:r>
        <w:rPr>
          <w:rFonts w:eastAsia="仿宋_GB2312"/>
          <w:sz w:val="32"/>
          <w:szCs w:val="32"/>
        </w:rPr>
        <w:t>为完成</w:t>
      </w:r>
      <w:r>
        <w:rPr>
          <w:rFonts w:hint="eastAsia" w:eastAsia="仿宋_GB2312"/>
          <w:sz w:val="32"/>
          <w:szCs w:val="32"/>
          <w:lang w:val="en-US" w:eastAsia="zh-CN"/>
        </w:rPr>
        <w:t>纪检监察</w:t>
      </w:r>
      <w:r>
        <w:rPr>
          <w:rFonts w:eastAsia="仿宋_GB2312"/>
          <w:sz w:val="32"/>
          <w:szCs w:val="32"/>
        </w:rPr>
        <w:t>工作而发生的支出，包括</w:t>
      </w:r>
      <w:r>
        <w:rPr>
          <w:rFonts w:hint="eastAsia" w:eastAsia="仿宋_GB2312"/>
          <w:sz w:val="32"/>
          <w:szCs w:val="32"/>
          <w:lang w:val="en-US" w:eastAsia="zh-CN"/>
        </w:rPr>
        <w:t>业务工作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派驻派出机构运行</w:t>
      </w:r>
      <w:r>
        <w:rPr>
          <w:rFonts w:eastAsia="仿宋_GB2312"/>
          <w:sz w:val="32"/>
          <w:szCs w:val="32"/>
        </w:rPr>
        <w:t>经费。业务工作经费支出主要用于</w:t>
      </w:r>
      <w:r>
        <w:rPr>
          <w:rFonts w:hint="eastAsia" w:eastAsia="仿宋_GB2312"/>
          <w:sz w:val="32"/>
          <w:szCs w:val="32"/>
          <w:lang w:val="en-US" w:eastAsia="zh-CN"/>
        </w:rPr>
        <w:t>办案、党风政风监督检查、廉政教育、信访维稳、涉密内网</w:t>
      </w:r>
      <w:r>
        <w:rPr>
          <w:rFonts w:eastAsia="仿宋_GB2312"/>
          <w:sz w:val="32"/>
          <w:szCs w:val="32"/>
        </w:rPr>
        <w:t>等信息网络建设和维护以及</w:t>
      </w:r>
      <w:r>
        <w:rPr>
          <w:rFonts w:hint="eastAsia" w:eastAsia="仿宋_GB2312"/>
          <w:sz w:val="32"/>
          <w:szCs w:val="32"/>
          <w:lang w:val="en-US" w:eastAsia="zh-CN"/>
        </w:rPr>
        <w:t>谈话室、食堂建设</w:t>
      </w:r>
      <w:r>
        <w:rPr>
          <w:rFonts w:eastAsia="仿宋_GB2312"/>
          <w:sz w:val="32"/>
          <w:szCs w:val="32"/>
        </w:rPr>
        <w:t>等方面。20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年项目支出</w:t>
      </w:r>
      <w:r>
        <w:rPr>
          <w:rFonts w:hint="eastAsia" w:eastAsia="仿宋_GB2312"/>
          <w:sz w:val="32"/>
          <w:szCs w:val="32"/>
          <w:lang w:val="en-US" w:eastAsia="zh-CN"/>
        </w:rPr>
        <w:t>342.73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减少14.29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  <w:lang w:val="en-US" w:eastAsia="zh-CN"/>
        </w:rPr>
        <w:t>332.73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14.29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压缩一般性支出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派驻派出机构运行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与上年持平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2021年，南岳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区纪委监委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牢牢把握政治机关定位，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认真贯彻落实中央、省、市纪委全会精神和区委的安排部署，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立足纪检监察职能职责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，充分发挥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监督保障执行、促进完善发展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作用，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全面推进“清廉南岳”建设，坚定不移推动全面从严治党向基层一线、向群众身边延伸，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纪检监察工作高质量发展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护航全区经济社会的高质量发展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。区纪委监委成功创建市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二星级文明单位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机关党支部荣获“全市先进基层党支部”等荣誉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zh-CN"/>
        </w:rPr>
        <w:t>信访举报工作、纪检监察外宣工作排名全市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前列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（一）扛牢监督专责，服务大局更加精细精准。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zh-CN" w:eastAsia="zh-CN" w:bidi="ar-SA"/>
        </w:rPr>
        <w:t>紧紧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围绕疫情防控、换届风气、生态环保、乡村振兴、创文巩卫、旅游综治、森林防火、安全生产等中心工作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zh-CN" w:eastAsia="zh-CN" w:bidi="ar-SA"/>
        </w:rPr>
        <w:t>跟进监督、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精准监督、全程监督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zh-CN" w:eastAsia="zh-CN" w:bidi="ar-SA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确保“总书记有号令、党委有部署、纪委见行动”，不断推动全面从严治党向基层一线延伸、向群众身边延伸。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坚决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疫情防控工作要求，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室组地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联动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开展全覆盖监督，检查重点场所、单位、卡口190余个，发现并督改问题156个，向相关行业部门发出督查建议书9份，印发督查通报8期，处理处分14人，保障辖区疫情“零发生”。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zh-CN" w:eastAsia="zh-CN"/>
        </w:rPr>
        <w:t>深入开展“作风建设年”活动，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推动对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zh-CN" w:eastAsia="zh-CN"/>
        </w:rPr>
        <w:t>“一把手”及领导班子的监督、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衡阳市“四个监督”落实落细，持续深入纠“四风”。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（二）坚守为民初心，专项治理更加走深走实。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在推动党史学习教育中始终坚守为民理念，持续“为群众办实事”。坚持“五度”理念，创新“五化”机制，推动信访举报工作重心下移、关口前移，高度重视初信初访，深入开展积案“清零”行动，全力攻坚信访疑难，将矛盾化解在最基层。今年信访举报办结率100%，信访总量同比下降53%，重复访同比下降66%，越级访总量全市最低、降幅全市最大，群众满意度持续走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zh-CN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（三）打造清廉名片，“三不”推进更加有力有效。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zh-CN" w:eastAsia="zh-CN"/>
        </w:rPr>
        <w:t>始终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坚持“严”的主基调，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一体构建“不敢腐、不能腐、不想腐”体制机制，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扎实推进“清廉南岳”建设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zh-CN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强化源头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治理，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zh-CN"/>
        </w:rPr>
        <w:t>发挥派驻机构“派”的权威、“驻”的优势，督促和会同各级党组织深入开展廉政风险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排查，督促建章立制，科学防范和化解廉政风险。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今年以来，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zh-CN" w:eastAsia="zh-CN" w:bidi="ar-SA"/>
        </w:rPr>
        <w:t>处置问题线索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zh-CN" w:eastAsia="zh-CN" w:bidi="ar-SA"/>
        </w:rPr>
        <w:t>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zh-CN" w:eastAsia="zh-CN" w:bidi="ar-SA"/>
        </w:rPr>
        <w:t>人次，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zh-CN" w:eastAsia="zh-CN" w:bidi="ar-SA"/>
        </w:rPr>
        <w:t>追缴违纪违法款项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zh-CN" w:eastAsia="zh-CN" w:bidi="ar-SA"/>
        </w:rPr>
        <w:t>14.73万元。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zh-CN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（四）坚持严管严治，队伍建设更加提质赋能。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深化纪检监察体制改革，从严从实加强自我监督约束，锻造纪检监察铁军。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zh-CN" w:eastAsia="zh-CN" w:bidi="ar-SA"/>
        </w:rPr>
        <w:t>抓好全员培训，用好“每周一课”学习平台，组织案件审理、办案安全、政府投资项目监管等专题学习培训20余次，将纪检监察室、党风政风监督室、案件审理室等部门作为以干代训、实战演练课堂。抽调区纪检监察系统干部5人参加市级巡察及专项治理工作，工作表现获得上级好评，4名同志荣获衡阳市纪检监察系统“办案能手”“监督能手”等称号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hint="eastAsia" w:eastAsia="仿宋_GB2312"/>
          <w:sz w:val="32"/>
          <w:szCs w:val="32"/>
          <w:lang w:val="en-US" w:eastAsia="zh-CN"/>
        </w:rPr>
        <w:t>委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numPr>
          <w:ilvl w:val="0"/>
          <w:numId w:val="2"/>
        </w:numPr>
        <w:spacing w:line="600" w:lineRule="exact"/>
        <w:ind w:left="630" w:leftChars="0"/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预算管理不够精细。在预算管理过程中，需加强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委内设机构的协调联动，保证预算编制的合理与精细</w:t>
      </w:r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2、财务规划的前瞻性、科学性、指导性和可操作性还有待提高。</w:t>
      </w:r>
    </w:p>
    <w:p>
      <w:pPr>
        <w:widowControl/>
        <w:numPr>
          <w:ilvl w:val="0"/>
          <w:numId w:val="3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一是按照预算规定的项目和用途严格财务审核，经费支出严格按预算规定项目的财务支出内容进行财务核算，在预算金额内严格控制费用的支出。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二是预算财务分析常态化，定期做好预算支出财务分析，做好部门整体支出预算评价工作。</w:t>
      </w: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pStyle w:val="2"/>
        <w:ind w:firstLine="4800" w:firstLineChars="1500"/>
        <w:rPr>
          <w:rFonts w:hint="eastAsia" w:eastAsia="仿宋_GB2312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  <w:t>南岳区纪律检查委员会</w:t>
      </w:r>
    </w:p>
    <w:p>
      <w:pPr>
        <w:pStyle w:val="2"/>
        <w:ind w:firstLine="5440" w:firstLineChars="1700"/>
        <w:rPr>
          <w:rFonts w:hint="default" w:eastAsia="仿宋_GB2312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  <w:t>2022年1月25日</w:t>
      </w:r>
    </w:p>
    <w:p>
      <w:pPr>
        <w:pStyle w:val="2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AB59FBF"/>
    <w:multiLevelType w:val="singleLevel"/>
    <w:tmpl w:val="7AB59F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035D77C2"/>
    <w:rsid w:val="0EAF6D18"/>
    <w:rsid w:val="149B2A0B"/>
    <w:rsid w:val="20E67351"/>
    <w:rsid w:val="26E54E3B"/>
    <w:rsid w:val="28606852"/>
    <w:rsid w:val="29EF7861"/>
    <w:rsid w:val="2BA60C1F"/>
    <w:rsid w:val="30BE2A8F"/>
    <w:rsid w:val="37BC199A"/>
    <w:rsid w:val="429F3322"/>
    <w:rsid w:val="43102595"/>
    <w:rsid w:val="452141EB"/>
    <w:rsid w:val="4A1504A0"/>
    <w:rsid w:val="52C14B04"/>
    <w:rsid w:val="55A02E49"/>
    <w:rsid w:val="579557A5"/>
    <w:rsid w:val="58E06247"/>
    <w:rsid w:val="5DCA2703"/>
    <w:rsid w:val="60477405"/>
    <w:rsid w:val="64A2122F"/>
    <w:rsid w:val="6713109A"/>
    <w:rsid w:val="67B42849"/>
    <w:rsid w:val="6B936988"/>
    <w:rsid w:val="71BD756A"/>
    <w:rsid w:val="74E67A72"/>
    <w:rsid w:val="751B6785"/>
    <w:rsid w:val="7A1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9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10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2191</Words>
  <Characters>2280</Characters>
  <Lines>0</Lines>
  <Paragraphs>0</Paragraphs>
  <TotalTime>22</TotalTime>
  <ScaleCrop>false</ScaleCrop>
  <LinksUpToDate>false</LinksUpToDate>
  <CharactersWithSpaces>2281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Lenovo</cp:lastModifiedBy>
  <cp:lastPrinted>2022-01-27T01:16:00Z</cp:lastPrinted>
  <dcterms:modified xsi:type="dcterms:W3CDTF">2022-04-01T03:17:22Z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4E4DAD64A3C541ADA8340B1ADC943BE1</vt:lpwstr>
  </property>
</Properties>
</file>