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南岳区委巡察办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</w:t>
      </w:r>
    </w:p>
    <w:p>
      <w:pPr>
        <w:widowControl/>
        <w:jc w:val="center"/>
        <w:rPr>
          <w:rFonts w:eastAsia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 国务院关于全面实施预算绩效管理的意见》的文件精神，我</w:t>
      </w:r>
      <w:r>
        <w:rPr>
          <w:rFonts w:hint="eastAsia" w:eastAsia="仿宋_GB2312"/>
          <w:sz w:val="32"/>
          <w:szCs w:val="32"/>
          <w:lang w:val="en-US" w:eastAsia="zh-CN"/>
        </w:rPr>
        <w:t>办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部门（单位）基本情况</w:t>
      </w:r>
    </w:p>
    <w:p>
      <w:pPr>
        <w:spacing w:line="600" w:lineRule="exact"/>
        <w:ind w:firstLine="645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  <w:lang w:val="en-US" w:eastAsia="zh-CN"/>
        </w:rPr>
        <w:t>（一）</w:t>
      </w:r>
      <w:r>
        <w:rPr>
          <w:rFonts w:eastAsia="楷体_GB2312"/>
          <w:b/>
          <w:sz w:val="32"/>
          <w:szCs w:val="32"/>
        </w:rPr>
        <w:t>部门职能职责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</w:rPr>
        <w:t>负责向区委巡察工作领导小组、市委巡察办报告巡察工作情况，传达贯彻中央、省委、市委和区委、区委巡察工作领导小组的决策和部署。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eastAsia" w:eastAsia="仿宋_GB2312"/>
          <w:sz w:val="32"/>
          <w:szCs w:val="32"/>
        </w:rPr>
        <w:t>负责巡察工作有关政策研究、制度建设等工作。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eastAsia="仿宋_GB2312"/>
          <w:sz w:val="32"/>
          <w:szCs w:val="32"/>
        </w:rPr>
        <w:t>负责统筹、协调、指导区委巡察组开展工作。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hint="eastAsia" w:eastAsia="仿宋_GB2312"/>
          <w:sz w:val="32"/>
          <w:szCs w:val="32"/>
        </w:rPr>
        <w:t>负责对区委、区委巡察工作领导小组决定的事项及巡察移交事项进行督办。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hint="eastAsia" w:eastAsia="仿宋_GB2312"/>
          <w:sz w:val="32"/>
          <w:szCs w:val="32"/>
        </w:rPr>
        <w:t>配合有关部门对巡察工作人员进行培训、考核、监督和管理。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hint="eastAsia" w:eastAsia="仿宋_GB2312"/>
          <w:sz w:val="32"/>
          <w:szCs w:val="32"/>
        </w:rPr>
        <w:t>完成区委和区委巡察工作领导小组交办的其他任务。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区委巡察办、巡察组合署办公，根据编办核定，巡察办内设股室2个、下设中心1个，分别是综合室、督查室和巡察事务中心；巡察组设2个组，分别是巡察一组、巡察二组。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年末，我单位共有编制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人，其中行政编制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人，事业编制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人。年末实有在职人员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人，离休人员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val="en-US" w:eastAsia="zh-CN"/>
        </w:rPr>
        <w:t>办</w:t>
      </w:r>
      <w:r>
        <w:rPr>
          <w:rFonts w:eastAsia="仿宋_GB2312"/>
          <w:sz w:val="32"/>
          <w:szCs w:val="32"/>
        </w:rPr>
        <w:t>机构正常运转、完成日常工作任务而发生的各项支出，包括用于在职人员基本工资、津贴补贴等人员经费以及办公费、印刷费、水电费、办公设备购置等日常公用经费。20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  <w:lang w:val="en-US" w:eastAsia="zh-CN"/>
        </w:rPr>
        <w:t>112.65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val="en-US" w:eastAsia="zh-CN"/>
        </w:rPr>
        <w:t>增加41.84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主要原因是人员增加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96.99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15.66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15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，均按财政部门要求进行使用和管理。其中“三公”经费的使用和管理严格规范，接待费支出完全按照省市关于公务接待的有关文件执行，202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年度我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办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没有因公出国（境）情况，彻落实厉行节约、严控“三公”经费。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项目支出系我</w:t>
      </w:r>
      <w:r>
        <w:rPr>
          <w:rFonts w:hint="eastAsia" w:eastAsia="仿宋_GB2312"/>
          <w:sz w:val="32"/>
          <w:szCs w:val="32"/>
          <w:lang w:val="en-US" w:eastAsia="zh-CN"/>
        </w:rPr>
        <w:t>办</w:t>
      </w:r>
      <w:r>
        <w:rPr>
          <w:rFonts w:eastAsia="仿宋_GB2312"/>
          <w:sz w:val="32"/>
          <w:szCs w:val="32"/>
        </w:rPr>
        <w:t>为完成</w:t>
      </w:r>
      <w:r>
        <w:rPr>
          <w:rFonts w:hint="eastAsia" w:eastAsia="仿宋_GB2312"/>
          <w:sz w:val="32"/>
          <w:szCs w:val="32"/>
          <w:lang w:val="en-US" w:eastAsia="zh-CN"/>
        </w:rPr>
        <w:t>巡察</w:t>
      </w:r>
      <w:r>
        <w:rPr>
          <w:rFonts w:eastAsia="仿宋_GB2312"/>
          <w:sz w:val="32"/>
          <w:szCs w:val="32"/>
        </w:rPr>
        <w:t>工作而发生的支出，包括行</w:t>
      </w:r>
      <w:r>
        <w:rPr>
          <w:rFonts w:hint="eastAsia" w:eastAsia="仿宋_GB2312"/>
          <w:sz w:val="32"/>
          <w:szCs w:val="32"/>
          <w:lang w:val="en-US" w:eastAsia="zh-CN"/>
        </w:rPr>
        <w:t>常规巡察、专项巡察</w:t>
      </w:r>
      <w:r>
        <w:rPr>
          <w:rFonts w:eastAsia="仿宋_GB2312"/>
          <w:sz w:val="32"/>
          <w:szCs w:val="32"/>
        </w:rPr>
        <w:t>和</w:t>
      </w:r>
      <w:r>
        <w:rPr>
          <w:rFonts w:hint="eastAsia" w:eastAsia="仿宋_GB2312"/>
          <w:sz w:val="32"/>
          <w:szCs w:val="32"/>
          <w:lang w:val="en-US" w:eastAsia="zh-CN"/>
        </w:rPr>
        <w:t>市级交叉巡察</w:t>
      </w:r>
      <w:r>
        <w:rPr>
          <w:rFonts w:eastAsia="仿宋_GB2312"/>
          <w:sz w:val="32"/>
          <w:szCs w:val="32"/>
        </w:rPr>
        <w:t>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年项目支出</w:t>
      </w:r>
      <w:r>
        <w:rPr>
          <w:rFonts w:hint="eastAsia" w:eastAsia="仿宋_GB2312"/>
          <w:sz w:val="32"/>
          <w:szCs w:val="32"/>
          <w:lang w:val="en-US" w:eastAsia="zh-CN"/>
        </w:rPr>
        <w:t>83.85</w:t>
      </w:r>
      <w:r>
        <w:rPr>
          <w:rFonts w:eastAsia="仿宋_GB2312"/>
          <w:sz w:val="32"/>
          <w:szCs w:val="32"/>
        </w:rPr>
        <w:t>万元，比上年</w:t>
      </w:r>
      <w:r>
        <w:rPr>
          <w:rFonts w:hint="eastAsia" w:eastAsia="仿宋_GB2312"/>
          <w:sz w:val="32"/>
          <w:szCs w:val="32"/>
          <w:lang w:val="en-US" w:eastAsia="zh-CN"/>
        </w:rPr>
        <w:t>增加8.8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主要原因是省委巡视组督办事项增加巡察经费。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按照市委和区委巡察工作部署，以“发现问题、形成震慑，推动改革、促进发展”作为主要任务，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坚持“严”的主基调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深化政治巡察，忠诚履职，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扎实推进区委巡察工作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，取得一定成效。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baseline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1、聚焦整改，推动措施落地落实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开展省委巡视整改专项监督检查2轮，以强监督压紧压实主体责任，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 w:eastAsia="zh-CN"/>
        </w:rPr>
        <w:t>截至目前，省委巡视反馈的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4个方面17项52个具体问题已完成整改41个，基本完成整改8个，长期坚持2个，正在整改1个，整改完成率为94.2%。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zh-CN" w:eastAsia="zh-CN" w:bidi="ar-SA"/>
        </w:rPr>
        <w:t>区委副书记在《人民日报》发表《答好巡视整改“考卷”》署名文章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，为巩固深化巡视成果提供理论和组织保障。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围绕中心，高效部署巡察工作</w:t>
      </w:r>
      <w:r>
        <w:rPr>
          <w:rFonts w:hint="eastAsia" w:ascii="仿宋" w:hAnsi="仿宋" w:eastAsia="仿宋" w:cs="仿宋"/>
          <w:b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高质高效推进政治巡察，针对村（社区）换届、粮食安全、粮食购销领域和生态环保等重点领域开展3轮专项巡察、1轮提级交叉巡察，2轮巡视巡察整改督查，提交巡察建议、整改督办函4份。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多措并举，提升巡察工作质效。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推进“四个监督”融合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的基础上，加强巡察办与相关部门建立政治生态研判、政治画像报告、意识形态责任落实报告、巡察反馈意见、共性问题分析研判等巡察结果共享机制，严格规范工作流程。进一步加强与纪委监委、组织、政法、审计、财政、信访等部门的协作配合，把贯通融合的要求具体化、制度化。</w:t>
      </w:r>
      <w:r>
        <w:rPr>
          <w:rFonts w:hint="eastAsia" w:ascii="Times New Roman" w:hAnsi="Times New Roman" w:eastAsia="方正仿宋简体" w:cs="Times New Roman"/>
          <w:b w:val="0"/>
          <w:bCs w:val="0"/>
          <w:kern w:val="0"/>
          <w:sz w:val="32"/>
          <w:szCs w:val="32"/>
          <w:lang w:val="en-US" w:eastAsia="zh-CN"/>
        </w:rPr>
        <w:t>完善了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区委巡察工作领导小组工作规则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》和《区委巡察工作领导小组学习制度》等，进一步提升被巡察单位政治敏锐性。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通过前述对我厅整体支出情况的分析，反映出目前整体支出主要在预算执行方面还存在一些问题和不足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主要是预算</w:t>
      </w:r>
      <w:r>
        <w:rPr>
          <w:rFonts w:hint="eastAsia" w:eastAsia="仿宋_GB2312"/>
          <w:sz w:val="32"/>
          <w:szCs w:val="32"/>
          <w:lang w:eastAsia="zh-CN"/>
        </w:rPr>
        <w:t>编制工作有待细化、预算的合理性和执行力度还需加强、项目资金支出进度分配不均等。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针对上述存在的问题，拟采取以下改进措施：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一是着力加强预算编制管理，科学规划预算编制工作，进一步提高预算编制的科学性、合理性、严谨性和可控性；二是着力加强资金使用管理，在费用报账支付时，严格按照预算规定的费用项目和用途进行资金使用审核、支付</w:t>
      </w:r>
      <w:r>
        <w:rPr>
          <w:rFonts w:hint="eastAsia" w:eastAsia="仿宋_GB2312"/>
          <w:sz w:val="32"/>
          <w:szCs w:val="32"/>
          <w:lang w:val="en-US" w:eastAsia="zh-CN"/>
        </w:rPr>
        <w:t>和</w:t>
      </w:r>
      <w:r>
        <w:rPr>
          <w:rFonts w:hint="eastAsia" w:eastAsia="仿宋_GB2312"/>
          <w:sz w:val="32"/>
          <w:szCs w:val="32"/>
          <w:lang w:eastAsia="zh-CN"/>
        </w:rPr>
        <w:t>财务核算；三是着力加强项目支出调度，加强项目开展事前事中事后的跟踪和支出进度的控制，开展项目绩效评价，科学、合理安排支出项目。</w:t>
      </w:r>
    </w:p>
    <w:p>
      <w:pPr>
        <w:pStyle w:val="2"/>
        <w:rPr>
          <w:rFonts w:hint="eastAsia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/>
          <w:sz w:val="32"/>
          <w:szCs w:val="32"/>
          <w:lang w:eastAsia="zh-CN"/>
        </w:rPr>
      </w:pPr>
    </w:p>
    <w:p>
      <w:pPr>
        <w:pStyle w:val="2"/>
        <w:ind w:firstLine="5120" w:firstLineChars="16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南岳区委巡察办</w:t>
      </w:r>
    </w:p>
    <w:p>
      <w:pPr>
        <w:pStyle w:val="2"/>
        <w:ind w:firstLine="5440" w:firstLineChars="17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2022年1月25日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06247"/>
    <w:rsid w:val="00881676"/>
    <w:rsid w:val="0EAF6D18"/>
    <w:rsid w:val="149B2A0B"/>
    <w:rsid w:val="20E67351"/>
    <w:rsid w:val="28606852"/>
    <w:rsid w:val="29EF7861"/>
    <w:rsid w:val="30BE2A8F"/>
    <w:rsid w:val="341D3158"/>
    <w:rsid w:val="429F3322"/>
    <w:rsid w:val="43102595"/>
    <w:rsid w:val="4A1504A0"/>
    <w:rsid w:val="4E740600"/>
    <w:rsid w:val="52C14B04"/>
    <w:rsid w:val="55A02E49"/>
    <w:rsid w:val="565639DB"/>
    <w:rsid w:val="58E06247"/>
    <w:rsid w:val="64A2122F"/>
    <w:rsid w:val="66C91155"/>
    <w:rsid w:val="6713109A"/>
    <w:rsid w:val="67B42849"/>
    <w:rsid w:val="71BD756A"/>
    <w:rsid w:val="751B6785"/>
    <w:rsid w:val="7A1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9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10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Lenovo</cp:lastModifiedBy>
  <cp:lastPrinted>2022-01-26T02:58:16Z</cp:lastPrinted>
  <dcterms:modified xsi:type="dcterms:W3CDTF">2022-01-26T03:06:17Z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4E4DAD64A3C541ADA8340B1ADC943BE1</vt:lpwstr>
  </property>
</Properties>
</file>