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_GBK"/>
          <w:sz w:val="32"/>
          <w:szCs w:val="32"/>
        </w:rPr>
      </w:pPr>
      <w:r>
        <w:rPr>
          <w:rFonts w:hint="eastAsia" w:ascii="方正小标宋简体" w:hAnsi="方正小标宋简体" w:eastAsia="方正小标宋简体" w:cs="方正小标宋简体"/>
          <w:sz w:val="32"/>
          <w:szCs w:val="32"/>
          <w:lang w:val="en-US" w:eastAsia="zh-CN"/>
        </w:rPr>
        <w:t>祝融街道财政所</w:t>
      </w:r>
      <w:r>
        <w:rPr>
          <w:rFonts w:hint="eastAsia" w:ascii="方正小标宋简体" w:hAnsi="方正小标宋简体" w:eastAsia="方正小标宋简体" w:cs="方正小标宋简体"/>
          <w:sz w:val="32"/>
          <w:szCs w:val="32"/>
        </w:rPr>
        <w:t>20</w:t>
      </w:r>
      <w:r>
        <w:rPr>
          <w:rFonts w:hint="eastAsia" w:ascii="方正小标宋简体" w:hAnsi="方正小标宋简体" w:eastAsia="方正小标宋简体" w:cs="方正小标宋简体"/>
          <w:sz w:val="32"/>
          <w:szCs w:val="32"/>
          <w:lang w:val="en-US" w:eastAsia="zh-CN"/>
        </w:rPr>
        <w:t>21</w:t>
      </w:r>
      <w:r>
        <w:rPr>
          <w:rFonts w:hint="eastAsia" w:ascii="方正小标宋简体" w:hAnsi="方正小标宋简体" w:eastAsia="方正小标宋简体" w:cs="方正小标宋简体"/>
          <w:sz w:val="32"/>
          <w:szCs w:val="32"/>
        </w:rPr>
        <w:t>年度部门整体支出绩效评价报告</w:t>
      </w:r>
    </w:p>
    <w:p>
      <w:pPr>
        <w:spacing w:line="600" w:lineRule="exact"/>
        <w:ind w:firstLine="645"/>
        <w:rPr>
          <w:rFonts w:eastAsia="仿宋_GB2312"/>
          <w:sz w:val="32"/>
          <w:szCs w:val="32"/>
        </w:rPr>
      </w:pPr>
      <w:r>
        <w:rPr>
          <w:rFonts w:eastAsia="仿宋_GB2312"/>
          <w:sz w:val="32"/>
          <w:szCs w:val="32"/>
        </w:rPr>
        <w:t>根据《中共中央国务院关于全面实施预算绩效管理的意见》的文件精神，我</w:t>
      </w:r>
      <w:r>
        <w:rPr>
          <w:rFonts w:hint="eastAsia" w:eastAsia="仿宋_GB2312"/>
          <w:sz w:val="32"/>
          <w:szCs w:val="32"/>
          <w:lang w:val="en-US" w:eastAsia="zh-CN"/>
        </w:rPr>
        <w:t>单位</w:t>
      </w:r>
      <w:r>
        <w:rPr>
          <w:rFonts w:eastAsia="仿宋_GB2312"/>
          <w:sz w:val="32"/>
          <w:szCs w:val="32"/>
        </w:rPr>
        <w:t>对部门整体支出进行了绩效评价，现报告如下：</w:t>
      </w:r>
    </w:p>
    <w:p>
      <w:pPr>
        <w:numPr>
          <w:ilvl w:val="0"/>
          <w:numId w:val="0"/>
        </w:numPr>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一、</w:t>
      </w:r>
      <w:r>
        <w:rPr>
          <w:rFonts w:hint="eastAsia" w:ascii="黑体" w:hAnsi="Times New Roman" w:eastAsia="黑体" w:cs="Times New Roman"/>
          <w:sz w:val="32"/>
          <w:szCs w:val="32"/>
        </w:rPr>
        <w:t>部门（单位）基本情况</w:t>
      </w:r>
    </w:p>
    <w:p>
      <w:pPr>
        <w:widowControl/>
        <w:spacing w:line="600" w:lineRule="exact"/>
        <w:ind w:firstLine="630" w:firstLineChars="196"/>
        <w:jc w:val="left"/>
        <w:rPr>
          <w:rFonts w:eastAsia="楷体_GB2312"/>
          <w:b/>
          <w:snapToGrid w:val="0"/>
          <w:kern w:val="0"/>
          <w:sz w:val="32"/>
          <w:szCs w:val="32"/>
        </w:rPr>
      </w:pPr>
      <w:r>
        <w:rPr>
          <w:rFonts w:eastAsia="楷体_GB2312"/>
          <w:b/>
          <w:snapToGrid w:val="0"/>
          <w:kern w:val="0"/>
          <w:sz w:val="32"/>
          <w:szCs w:val="32"/>
        </w:rPr>
        <w:t>（一）部门职能职责</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（1）贯彻执行国家和省、市、区有关财政、税收的法律、法规、规章、方针政策和地方性规章制度。</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负责祝融街道办事处年度预决算编制、预算执行、预算调整和预算内外收支管理。负责祝融街道办事处的财务管理和核算；负责涉农及社会保障等专户资金的管理和核算；负责社区资金的核拨和监管；负责各项居民补贴的核拨和兑付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（3）制订财政和预算收入计划；管理和监督各项财政收入。</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（4）管理和监督各项财政支出；管理街道预算内、外资金及各项政府性基金；管理财政票据。</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（5）统一规定的行政事业单位开支标准和政府采购政策、制度。</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6）在南岳区党政门户网上负责办事处及财政所年度部门财务预算公开和决算公开。财政专项资金管理，按照专款专用的原则，管好、用好各项专项资金，对年度专项资金超过10万元以上的专项资金进行绩效评价。</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（7）监督财税方针、政策、法规和财会制度的执行情况；检查、反映财政收支管理中的重大问题，提出加强财政管理的政策建议。</w:t>
      </w:r>
    </w:p>
    <w:p>
      <w:pPr>
        <w:widowControl/>
        <w:spacing w:line="600" w:lineRule="exact"/>
        <w:ind w:firstLine="588" w:firstLineChars="196"/>
        <w:jc w:val="left"/>
        <w:rPr>
          <w:rFonts w:hint="eastAsia" w:ascii="仿宋_GB2312" w:eastAsia="仿宋_GB2312"/>
          <w:sz w:val="30"/>
          <w:szCs w:val="30"/>
          <w:lang w:eastAsia="zh-CN"/>
        </w:rPr>
      </w:pPr>
      <w:r>
        <w:rPr>
          <w:rFonts w:hint="eastAsia" w:ascii="仿宋_GB2312" w:eastAsia="仿宋_GB2312"/>
          <w:sz w:val="30"/>
          <w:szCs w:val="30"/>
          <w:lang w:eastAsia="zh-CN"/>
        </w:rPr>
        <w:t>（8）完成领导交办的其他工作。</w:t>
      </w:r>
    </w:p>
    <w:p>
      <w:pPr>
        <w:widowControl/>
        <w:spacing w:line="600" w:lineRule="exact"/>
        <w:ind w:firstLine="630" w:firstLineChars="196"/>
        <w:jc w:val="left"/>
        <w:rPr>
          <w:rFonts w:eastAsia="楷体_GB2312"/>
          <w:b/>
          <w:sz w:val="32"/>
          <w:szCs w:val="32"/>
        </w:rPr>
      </w:pPr>
      <w:r>
        <w:rPr>
          <w:rFonts w:eastAsia="楷体_GB2312"/>
          <w:b/>
          <w:sz w:val="32"/>
          <w:szCs w:val="32"/>
        </w:rPr>
        <w:t>（二）机构设置情况</w:t>
      </w:r>
    </w:p>
    <w:p>
      <w:pPr>
        <w:spacing w:line="600" w:lineRule="exact"/>
        <w:ind w:firstLine="645"/>
        <w:rPr>
          <w:rFonts w:hint="eastAsia" w:eastAsia="仿宋_GB2312"/>
          <w:sz w:val="32"/>
          <w:szCs w:val="32"/>
          <w:lang w:val="en-US" w:eastAsia="zh-CN"/>
        </w:rPr>
      </w:pPr>
      <w:r>
        <w:rPr>
          <w:rFonts w:hint="eastAsia" w:ascii="仿宋_GB2312" w:eastAsia="仿宋_GB2312"/>
          <w:sz w:val="30"/>
          <w:szCs w:val="30"/>
        </w:rPr>
        <w:t>祝融街道财政所属独立核算全额拨款的行政单位，没有设置内设股室</w:t>
      </w:r>
      <w:r>
        <w:rPr>
          <w:rFonts w:hint="eastAsia" w:eastAsia="仿宋_GB2312"/>
          <w:sz w:val="32"/>
          <w:szCs w:val="32"/>
          <w:lang w:val="en-US" w:eastAsia="zh-CN"/>
        </w:rPr>
        <w:t>。</w:t>
      </w:r>
    </w:p>
    <w:p>
      <w:pPr>
        <w:widowControl/>
        <w:spacing w:line="600" w:lineRule="exact"/>
        <w:ind w:firstLine="630" w:firstLineChars="196"/>
        <w:jc w:val="left"/>
        <w:rPr>
          <w:rFonts w:eastAsia="楷体_GB2312"/>
          <w:b/>
          <w:sz w:val="32"/>
          <w:szCs w:val="32"/>
        </w:rPr>
      </w:pPr>
      <w:r>
        <w:rPr>
          <w:rFonts w:eastAsia="楷体_GB2312"/>
          <w:b/>
          <w:sz w:val="32"/>
          <w:szCs w:val="32"/>
        </w:rPr>
        <w:t>（三）人员编制情况</w:t>
      </w:r>
    </w:p>
    <w:p>
      <w:pPr>
        <w:spacing w:line="600" w:lineRule="exact"/>
        <w:ind w:firstLine="645"/>
        <w:rPr>
          <w:rFonts w:hint="eastAsia" w:eastAsia="仿宋_GB2312"/>
          <w:sz w:val="32"/>
          <w:szCs w:val="32"/>
          <w:lang w:eastAsia="zh-CN"/>
        </w:rPr>
      </w:pPr>
      <w:r>
        <w:rPr>
          <w:rFonts w:hint="eastAsia" w:eastAsia="仿宋_GB2312"/>
          <w:sz w:val="32"/>
          <w:szCs w:val="32"/>
          <w:lang w:eastAsia="zh-CN"/>
        </w:rPr>
        <w:t>20</w:t>
      </w:r>
      <w:r>
        <w:rPr>
          <w:rFonts w:hint="eastAsia" w:eastAsia="仿宋_GB2312"/>
          <w:sz w:val="32"/>
          <w:szCs w:val="32"/>
          <w:lang w:val="en-US" w:eastAsia="zh-CN"/>
        </w:rPr>
        <w:t>20</w:t>
      </w:r>
      <w:r>
        <w:rPr>
          <w:rFonts w:hint="eastAsia" w:eastAsia="仿宋_GB2312"/>
          <w:sz w:val="32"/>
          <w:szCs w:val="32"/>
          <w:lang w:eastAsia="zh-CN"/>
        </w:rPr>
        <w:t>年末，我单位共有编制</w:t>
      </w:r>
      <w:r>
        <w:rPr>
          <w:rFonts w:hint="eastAsia" w:eastAsia="仿宋_GB2312"/>
          <w:sz w:val="32"/>
          <w:szCs w:val="32"/>
          <w:lang w:val="en-US" w:eastAsia="zh-CN"/>
        </w:rPr>
        <w:t>3</w:t>
      </w:r>
      <w:r>
        <w:rPr>
          <w:rFonts w:hint="eastAsia" w:eastAsia="仿宋_GB2312"/>
          <w:sz w:val="32"/>
          <w:szCs w:val="32"/>
          <w:lang w:eastAsia="zh-CN"/>
        </w:rPr>
        <w:t>人，其中行政编制</w:t>
      </w:r>
      <w:r>
        <w:rPr>
          <w:rFonts w:hint="eastAsia" w:eastAsia="仿宋_GB2312"/>
          <w:sz w:val="32"/>
          <w:szCs w:val="32"/>
          <w:lang w:val="en-US" w:eastAsia="zh-CN"/>
        </w:rPr>
        <w:t>3</w:t>
      </w:r>
      <w:r>
        <w:rPr>
          <w:rFonts w:hint="eastAsia" w:eastAsia="仿宋_GB2312"/>
          <w:sz w:val="32"/>
          <w:szCs w:val="32"/>
          <w:lang w:eastAsia="zh-CN"/>
        </w:rPr>
        <w:t>人，事业编制</w:t>
      </w:r>
      <w:r>
        <w:rPr>
          <w:rFonts w:hint="eastAsia" w:eastAsia="仿宋_GB2312"/>
          <w:sz w:val="32"/>
          <w:szCs w:val="32"/>
          <w:lang w:val="en-US" w:eastAsia="zh-CN"/>
        </w:rPr>
        <w:t>0</w:t>
      </w:r>
      <w:r>
        <w:rPr>
          <w:rFonts w:hint="eastAsia" w:eastAsia="仿宋_GB2312"/>
          <w:sz w:val="32"/>
          <w:szCs w:val="32"/>
          <w:lang w:eastAsia="zh-CN"/>
        </w:rPr>
        <w:t>人。年末实有在职人员</w:t>
      </w:r>
      <w:r>
        <w:rPr>
          <w:rFonts w:hint="eastAsia" w:eastAsia="仿宋_GB2312"/>
          <w:sz w:val="32"/>
          <w:szCs w:val="32"/>
          <w:lang w:val="en-US" w:eastAsia="zh-CN"/>
        </w:rPr>
        <w:t>6</w:t>
      </w:r>
      <w:r>
        <w:rPr>
          <w:rFonts w:hint="eastAsia" w:eastAsia="仿宋_GB2312"/>
          <w:sz w:val="32"/>
          <w:szCs w:val="32"/>
          <w:lang w:eastAsia="zh-CN"/>
        </w:rPr>
        <w:t>人，离休人员</w:t>
      </w:r>
      <w:r>
        <w:rPr>
          <w:rFonts w:hint="eastAsia" w:eastAsia="仿宋_GB2312"/>
          <w:sz w:val="32"/>
          <w:szCs w:val="32"/>
          <w:lang w:val="en-US" w:eastAsia="zh-CN"/>
        </w:rPr>
        <w:t>0</w:t>
      </w:r>
      <w:r>
        <w:rPr>
          <w:rFonts w:hint="eastAsia" w:eastAsia="仿宋_GB2312"/>
          <w:sz w:val="32"/>
          <w:szCs w:val="32"/>
          <w:lang w:eastAsia="zh-CN"/>
        </w:rPr>
        <w:t>人。</w:t>
      </w:r>
    </w:p>
    <w:p>
      <w:pPr>
        <w:widowControl/>
        <w:numPr>
          <w:ilvl w:val="0"/>
          <w:numId w:val="1"/>
        </w:num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widowControl/>
        <w:numPr>
          <w:ilvl w:val="0"/>
          <w:numId w:val="0"/>
        </w:numPr>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0"/>
          <w:szCs w:val="30"/>
          <w:lang w:eastAsia="zh-CN"/>
        </w:rPr>
      </w:pPr>
      <w:r>
        <w:rPr>
          <w:rFonts w:hint="eastAsia" w:eastAsia="仿宋_GB2312"/>
          <w:sz w:val="32"/>
          <w:szCs w:val="32"/>
          <w:lang w:eastAsia="zh-CN"/>
        </w:rPr>
        <w:t>基本</w:t>
      </w:r>
      <w:r>
        <w:rPr>
          <w:rFonts w:hint="eastAsia" w:ascii="仿宋" w:hAnsi="仿宋" w:eastAsia="仿宋" w:cs="仿宋"/>
          <w:sz w:val="30"/>
          <w:szCs w:val="30"/>
          <w:lang w:eastAsia="zh-CN"/>
        </w:rPr>
        <w:t>支出系保障</w:t>
      </w:r>
      <w:r>
        <w:rPr>
          <w:rFonts w:hint="eastAsia" w:ascii="仿宋" w:hAnsi="仿宋" w:eastAsia="仿宋" w:cs="仿宋"/>
          <w:sz w:val="30"/>
          <w:szCs w:val="30"/>
          <w:lang w:val="en-US" w:eastAsia="zh-CN"/>
        </w:rPr>
        <w:t>街道财政所</w:t>
      </w:r>
      <w:r>
        <w:rPr>
          <w:rFonts w:hint="eastAsia" w:ascii="仿宋" w:hAnsi="仿宋" w:eastAsia="仿宋" w:cs="仿宋"/>
          <w:sz w:val="30"/>
          <w:szCs w:val="30"/>
          <w:lang w:eastAsia="zh-CN"/>
        </w:rPr>
        <w:t>机构正常运转、完成日常工作任务而发生的各项支出，包括用于在职和离退休人员基本工资、津贴补贴等人员经费以及办公费、印刷费、水电费、办公设备购置等日常公用经费。</w:t>
      </w:r>
      <w:r>
        <w:rPr>
          <w:rFonts w:hint="eastAsia" w:ascii="仿宋" w:hAnsi="仿宋" w:eastAsia="仿宋" w:cs="仿宋"/>
          <w:sz w:val="30"/>
          <w:szCs w:val="30"/>
          <w:lang w:val="en-US" w:eastAsia="zh-CN"/>
        </w:rPr>
        <w:t>2021</w:t>
      </w:r>
      <w:r>
        <w:rPr>
          <w:rFonts w:hint="eastAsia" w:ascii="仿宋" w:hAnsi="仿宋" w:eastAsia="仿宋" w:cs="仿宋"/>
          <w:sz w:val="30"/>
          <w:szCs w:val="30"/>
          <w:lang w:eastAsia="zh-CN"/>
        </w:rPr>
        <w:t>年基本支出</w:t>
      </w:r>
      <w:r>
        <w:rPr>
          <w:rFonts w:hint="eastAsia" w:ascii="仿宋" w:hAnsi="仿宋" w:eastAsia="仿宋" w:cs="仿宋"/>
          <w:sz w:val="30"/>
          <w:szCs w:val="30"/>
          <w:lang w:val="en-US" w:eastAsia="zh-CN"/>
        </w:rPr>
        <w:t>86.36</w:t>
      </w:r>
      <w:r>
        <w:rPr>
          <w:rFonts w:hint="eastAsia" w:ascii="仿宋" w:hAnsi="仿宋" w:eastAsia="仿宋" w:cs="仿宋"/>
          <w:sz w:val="30"/>
          <w:szCs w:val="30"/>
          <w:lang w:eastAsia="zh-CN"/>
        </w:rPr>
        <w:t>万元，较上年</w:t>
      </w:r>
      <w:r>
        <w:rPr>
          <w:rFonts w:hint="eastAsia" w:ascii="仿宋" w:hAnsi="仿宋" w:eastAsia="仿宋" w:cs="仿宋"/>
          <w:sz w:val="30"/>
          <w:szCs w:val="30"/>
          <w:lang w:val="en-US" w:eastAsia="zh-CN"/>
        </w:rPr>
        <w:t>增加14.58</w:t>
      </w:r>
      <w:r>
        <w:rPr>
          <w:rFonts w:hint="eastAsia" w:ascii="仿宋" w:hAnsi="仿宋" w:eastAsia="仿宋" w:cs="仿宋"/>
          <w:sz w:val="30"/>
          <w:szCs w:val="30"/>
          <w:lang w:eastAsia="zh-CN"/>
        </w:rPr>
        <w:t>万元。基本支出中人员经费</w:t>
      </w:r>
      <w:r>
        <w:rPr>
          <w:rFonts w:hint="eastAsia" w:ascii="仿宋" w:hAnsi="仿宋" w:eastAsia="仿宋" w:cs="仿宋"/>
          <w:sz w:val="30"/>
          <w:szCs w:val="30"/>
          <w:lang w:val="en-US" w:eastAsia="zh-CN"/>
        </w:rPr>
        <w:t>73.86</w:t>
      </w:r>
      <w:r>
        <w:rPr>
          <w:rFonts w:hint="eastAsia" w:ascii="仿宋" w:hAnsi="仿宋" w:eastAsia="仿宋" w:cs="仿宋"/>
          <w:sz w:val="30"/>
          <w:szCs w:val="30"/>
          <w:lang w:eastAsia="zh-CN"/>
        </w:rPr>
        <w:t>万元，占基本支出的</w:t>
      </w:r>
      <w:r>
        <w:rPr>
          <w:rFonts w:hint="eastAsia" w:ascii="仿宋" w:hAnsi="仿宋" w:eastAsia="仿宋" w:cs="仿宋"/>
          <w:sz w:val="30"/>
          <w:szCs w:val="30"/>
          <w:lang w:val="en-US" w:eastAsia="zh-CN"/>
        </w:rPr>
        <w:t>85.53</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比上年增多57%，主要是由于本年度由新进人员和人员经费增加和住房公积金补缴等</w:t>
      </w:r>
      <w:r>
        <w:rPr>
          <w:rFonts w:hint="eastAsia" w:ascii="仿宋" w:hAnsi="仿宋" w:eastAsia="仿宋" w:cs="仿宋"/>
          <w:sz w:val="30"/>
          <w:szCs w:val="30"/>
          <w:lang w:eastAsia="zh-CN"/>
        </w:rPr>
        <w:t>；日常公用经费</w:t>
      </w:r>
      <w:r>
        <w:rPr>
          <w:rFonts w:hint="eastAsia" w:ascii="仿宋" w:hAnsi="仿宋" w:eastAsia="仿宋" w:cs="仿宋"/>
          <w:sz w:val="30"/>
          <w:szCs w:val="30"/>
          <w:lang w:val="en-US" w:eastAsia="zh-CN"/>
        </w:rPr>
        <w:t>12.5</w:t>
      </w:r>
      <w:r>
        <w:rPr>
          <w:rFonts w:hint="eastAsia" w:ascii="仿宋" w:hAnsi="仿宋" w:eastAsia="仿宋" w:cs="仿宋"/>
          <w:sz w:val="30"/>
          <w:szCs w:val="30"/>
          <w:lang w:eastAsia="zh-CN"/>
        </w:rPr>
        <w:t>万元，占基本支出的</w:t>
      </w:r>
      <w:r>
        <w:rPr>
          <w:rFonts w:hint="eastAsia" w:ascii="仿宋" w:hAnsi="仿宋" w:eastAsia="仿宋" w:cs="仿宋"/>
          <w:sz w:val="30"/>
          <w:szCs w:val="30"/>
          <w:lang w:val="en-US" w:eastAsia="zh-CN"/>
        </w:rPr>
        <w:t>14.47</w:t>
      </w:r>
      <w:r>
        <w:rPr>
          <w:rFonts w:hint="eastAsia" w:ascii="仿宋" w:hAnsi="仿宋" w:eastAsia="仿宋" w:cs="仿宋"/>
          <w:sz w:val="30"/>
          <w:szCs w:val="30"/>
          <w:lang w:eastAsia="zh-CN"/>
        </w:rPr>
        <w:t>%，较上年</w:t>
      </w:r>
      <w:r>
        <w:rPr>
          <w:rFonts w:hint="eastAsia" w:ascii="仿宋" w:hAnsi="仿宋" w:eastAsia="仿宋" w:cs="仿宋"/>
          <w:sz w:val="30"/>
          <w:szCs w:val="30"/>
          <w:lang w:val="en-US" w:eastAsia="zh-CN"/>
        </w:rPr>
        <w:t>减少49.47</w:t>
      </w:r>
      <w:r>
        <w:rPr>
          <w:rFonts w:hint="eastAsia" w:ascii="仿宋" w:hAnsi="仿宋" w:eastAsia="仿宋" w:cs="仿宋"/>
          <w:sz w:val="30"/>
          <w:szCs w:val="30"/>
          <w:lang w:eastAsia="zh-CN"/>
        </w:rPr>
        <w:t>%，主要原因是</w:t>
      </w:r>
      <w:r>
        <w:rPr>
          <w:rFonts w:hint="eastAsia" w:eastAsia="仿宋_GB2312"/>
          <w:color w:val="000000"/>
          <w:sz w:val="32"/>
          <w:szCs w:val="32"/>
          <w:lang w:val="en-US" w:eastAsia="zh-CN"/>
        </w:rPr>
        <w:t>受疫情影响和压减非重点、刚性支出要求，我单位厉行节约、严格把关，严控三公经费支出，大力压减公用经费支出</w:t>
      </w:r>
      <w:r>
        <w:rPr>
          <w:rFonts w:hint="eastAsia" w:ascii="仿宋" w:hAnsi="仿宋" w:eastAsia="仿宋" w:cs="仿宋"/>
          <w:sz w:val="30"/>
          <w:szCs w:val="30"/>
          <w:lang w:val="en-US" w:eastAsia="zh-CN"/>
        </w:rPr>
        <w:t>。</w:t>
      </w:r>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tabs>
          <w:tab w:val="left" w:pos="2296"/>
        </w:tabs>
        <w:spacing w:line="600" w:lineRule="exact"/>
        <w:ind w:firstLine="640" w:firstLineChars="200"/>
        <w:rPr>
          <w:rFonts w:ascii="Times New Roman" w:hAnsi="Times New Roman" w:eastAsia="仿宋_GB2312" w:cs="Times New Roman"/>
          <w:sz w:val="32"/>
          <w:szCs w:val="32"/>
        </w:rPr>
      </w:pPr>
      <w:r>
        <w:rPr>
          <w:rFonts w:hint="eastAsia" w:eastAsia="仿宋_GB2312"/>
          <w:sz w:val="32"/>
          <w:szCs w:val="32"/>
          <w:lang w:val="en-US" w:eastAsia="zh-CN"/>
        </w:rPr>
        <w:t>无项目支出情况。</w:t>
      </w:r>
    </w:p>
    <w:p>
      <w:pPr>
        <w:widowControl/>
        <w:numPr>
          <w:ilvl w:val="0"/>
          <w:numId w:val="0"/>
        </w:numPr>
        <w:spacing w:line="600" w:lineRule="exact"/>
        <w:ind w:leftChars="0"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widowControl/>
        <w:numPr>
          <w:ilvl w:val="0"/>
          <w:numId w:val="0"/>
        </w:numPr>
        <w:spacing w:line="600" w:lineRule="exact"/>
        <w:ind w:leftChars="0"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2021</w:t>
      </w:r>
      <w:r>
        <w:rPr>
          <w:rFonts w:ascii="Times New Roman" w:hAnsi="Times New Roman" w:eastAsia="仿宋_GB2312"/>
          <w:sz w:val="32"/>
          <w:szCs w:val="32"/>
        </w:rPr>
        <w:t>年是</w:t>
      </w:r>
      <w:r>
        <w:rPr>
          <w:rFonts w:hint="eastAsia" w:ascii="Times New Roman" w:hAnsi="Times New Roman" w:eastAsia="仿宋_GB2312"/>
          <w:sz w:val="32"/>
          <w:szCs w:val="32"/>
          <w:lang w:val="en-US" w:eastAsia="zh-CN"/>
        </w:rPr>
        <w:t>两个一百年的历史交汇点。街道财政所在</w:t>
      </w:r>
      <w:r>
        <w:rPr>
          <w:rFonts w:ascii="Times New Roman" w:hAnsi="Times New Roman" w:eastAsia="仿宋_GB2312"/>
          <w:sz w:val="32"/>
          <w:szCs w:val="32"/>
        </w:rPr>
        <w:t>全年预算执行总体良好，各项工作任务圆满完成</w:t>
      </w:r>
      <w:bookmarkStart w:id="0" w:name="_GoBack"/>
      <w:bookmarkEnd w:id="0"/>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街道财政所全年</w:t>
      </w:r>
      <w:r>
        <w:rPr>
          <w:rFonts w:ascii="Times New Roman" w:hAnsi="Times New Roman" w:eastAsia="仿宋_GB2312"/>
          <w:sz w:val="32"/>
          <w:szCs w:val="32"/>
        </w:rPr>
        <w:t>收入</w:t>
      </w:r>
      <w:r>
        <w:rPr>
          <w:rFonts w:hint="eastAsia" w:ascii="Times New Roman" w:hAnsi="Times New Roman" w:eastAsia="仿宋_GB2312"/>
          <w:sz w:val="32"/>
          <w:szCs w:val="32"/>
          <w:lang w:val="en-US" w:eastAsia="zh-CN"/>
        </w:rPr>
        <w:t>81.64万元</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增加16.61</w:t>
      </w:r>
      <w:r>
        <w:rPr>
          <w:rFonts w:ascii="Times New Roman" w:hAnsi="Times New Roman" w:eastAsia="仿宋_GB2312"/>
          <w:sz w:val="32"/>
          <w:szCs w:val="32"/>
        </w:rPr>
        <w:t>%，其中</w:t>
      </w:r>
      <w:r>
        <w:rPr>
          <w:rFonts w:hint="eastAsia" w:ascii="Times New Roman" w:hAnsi="Times New Roman" w:eastAsia="仿宋_GB2312"/>
          <w:sz w:val="32"/>
          <w:szCs w:val="32"/>
          <w:lang w:val="en-US" w:eastAsia="zh-CN"/>
        </w:rPr>
        <w:t>财政拨款收入81.41万元</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增加16.61</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其他</w:t>
      </w:r>
      <w:r>
        <w:rPr>
          <w:rFonts w:ascii="Times New Roman" w:hAnsi="Times New Roman" w:eastAsia="仿宋_GB2312"/>
          <w:sz w:val="32"/>
          <w:szCs w:val="32"/>
        </w:rPr>
        <w:t>收入</w:t>
      </w:r>
      <w:r>
        <w:rPr>
          <w:rFonts w:hint="eastAsia" w:ascii="Times New Roman" w:hAnsi="Times New Roman" w:eastAsia="仿宋_GB2312"/>
          <w:sz w:val="32"/>
          <w:szCs w:val="32"/>
          <w:lang w:val="en-US" w:eastAsia="zh-CN"/>
        </w:rPr>
        <w:t>0.2万元</w:t>
      </w:r>
      <w:r>
        <w:rPr>
          <w:rFonts w:ascii="Times New Roman" w:hAnsi="Times New Roman" w:eastAsia="仿宋_GB2312"/>
          <w:sz w:val="32"/>
          <w:szCs w:val="32"/>
        </w:rPr>
        <w:t>。一般公共预算支出</w:t>
      </w:r>
      <w:r>
        <w:rPr>
          <w:rFonts w:hint="eastAsia" w:ascii="Times New Roman" w:hAnsi="Times New Roman" w:eastAsia="仿宋_GB2312"/>
          <w:sz w:val="32"/>
          <w:szCs w:val="32"/>
          <w:lang w:val="en-US" w:eastAsia="zh-CN"/>
        </w:rPr>
        <w:t>86.36万元</w:t>
      </w:r>
      <w:r>
        <w:rPr>
          <w:rFonts w:ascii="Times New Roman" w:hAnsi="Times New Roman" w:eastAsia="仿宋_GB2312"/>
          <w:sz w:val="32"/>
          <w:szCs w:val="32"/>
        </w:rPr>
        <w:t>，增长</w:t>
      </w:r>
      <w:r>
        <w:rPr>
          <w:rFonts w:hint="eastAsia" w:ascii="Times New Roman" w:hAnsi="Times New Roman" w:eastAsia="仿宋_GB2312"/>
          <w:sz w:val="32"/>
          <w:szCs w:val="32"/>
          <w:lang w:val="en-US" w:eastAsia="zh-CN"/>
        </w:rPr>
        <w:t>20.32</w:t>
      </w:r>
      <w:r>
        <w:rPr>
          <w:rFonts w:ascii="Times New Roman" w:hAnsi="Times New Roman" w:eastAsia="仿宋_GB2312"/>
          <w:sz w:val="32"/>
          <w:szCs w:val="32"/>
        </w:rPr>
        <w:t>%。</w:t>
      </w:r>
    </w:p>
    <w:p>
      <w:pPr>
        <w:widowControl/>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w:t>
      </w:r>
      <w:r>
        <w:rPr>
          <w:rFonts w:ascii="Times New Roman" w:hAnsi="Times New Roman" w:eastAsia="黑体" w:cs="Times New Roman"/>
          <w:sz w:val="32"/>
          <w:szCs w:val="32"/>
        </w:rPr>
        <w:t>存在的问题及原因分析</w:t>
      </w:r>
    </w:p>
    <w:p>
      <w:pPr>
        <w:numPr>
          <w:ilvl w:val="0"/>
          <w:numId w:val="0"/>
        </w:numPr>
        <w:spacing w:line="600" w:lineRule="exact"/>
        <w:ind w:firstLine="640" w:firstLineChars="200"/>
        <w:rPr>
          <w:rFonts w:hint="default" w:eastAsia="仿宋_GB2312"/>
          <w:sz w:val="32"/>
          <w:szCs w:val="32"/>
          <w:lang w:val="en-US" w:eastAsia="zh-CN"/>
        </w:rPr>
      </w:pPr>
      <w:r>
        <w:rPr>
          <w:rFonts w:eastAsia="仿宋_GB2312"/>
          <w:sz w:val="32"/>
          <w:szCs w:val="32"/>
        </w:rPr>
        <w:t>通过对</w:t>
      </w:r>
      <w:r>
        <w:rPr>
          <w:rFonts w:hint="eastAsia" w:eastAsia="仿宋_GB2312"/>
          <w:sz w:val="32"/>
          <w:szCs w:val="32"/>
          <w:lang w:val="en-US" w:eastAsia="zh-CN"/>
        </w:rPr>
        <w:t>街道财政所</w:t>
      </w:r>
      <w:r>
        <w:rPr>
          <w:rFonts w:eastAsia="仿宋_GB2312"/>
          <w:sz w:val="32"/>
          <w:szCs w:val="32"/>
        </w:rPr>
        <w:t>整体支出情况的分析，反映出目前整体支出</w:t>
      </w:r>
      <w:r>
        <w:rPr>
          <w:rFonts w:hint="eastAsia" w:eastAsia="仿宋_GB2312"/>
          <w:sz w:val="32"/>
          <w:szCs w:val="32"/>
          <w:lang w:val="en-US" w:eastAsia="zh-CN"/>
        </w:rPr>
        <w:t>情况良好。</w:t>
      </w:r>
    </w:p>
    <w:p>
      <w:pPr>
        <w:widowControl/>
        <w:numPr>
          <w:ilvl w:val="0"/>
          <w:numId w:val="2"/>
        </w:num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widowControl/>
        <w:numPr>
          <w:ilvl w:val="0"/>
          <w:numId w:val="0"/>
        </w:numPr>
        <w:spacing w:line="600" w:lineRule="exact"/>
        <w:ind w:firstLine="640" w:firstLineChars="200"/>
        <w:jc w:val="left"/>
        <w:rPr>
          <w:rFonts w:hint="default" w:ascii="宋体" w:hAnsi="宋体" w:eastAsia="宋体" w:cs="宋体"/>
          <w:sz w:val="30"/>
          <w:szCs w:val="30"/>
          <w:lang w:val="en-US" w:eastAsia="zh-CN"/>
        </w:rPr>
      </w:pPr>
      <w:r>
        <w:rPr>
          <w:rFonts w:hint="eastAsia" w:ascii="仿宋_GB2312" w:hAnsi="仿宋_GB2312" w:eastAsia="仿宋_GB2312" w:cs="仿宋_GB2312"/>
          <w:b w:val="0"/>
          <w:bCs/>
          <w:sz w:val="32"/>
          <w:szCs w:val="32"/>
          <w:lang w:val="en-US" w:eastAsia="zh-CN"/>
        </w:rPr>
        <w:t>街道财政所整体运行情况良好，但在接下来街道财政所会继续强化预算管理，定期开展预算执行分析，</w:t>
      </w:r>
      <w:r>
        <w:rPr>
          <w:rFonts w:hint="eastAsia" w:eastAsia="仿宋_GB2312"/>
          <w:sz w:val="32"/>
          <w:szCs w:val="32"/>
          <w:lang w:val="en-US" w:eastAsia="zh-CN"/>
        </w:rPr>
        <w:t>根据资金使用情况调整下年预算安排。</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9CCF1"/>
    <w:multiLevelType w:val="singleLevel"/>
    <w:tmpl w:val="F639CCF1"/>
    <w:lvl w:ilvl="0" w:tentative="0">
      <w:start w:val="2"/>
      <w:numFmt w:val="chineseCounting"/>
      <w:suff w:val="nothing"/>
      <w:lvlText w:val="%1、"/>
      <w:lvlJc w:val="left"/>
      <w:rPr>
        <w:rFonts w:hint="eastAsia"/>
      </w:rPr>
    </w:lvl>
  </w:abstractNum>
  <w:abstractNum w:abstractNumId="1">
    <w:nsid w:val="692A871F"/>
    <w:multiLevelType w:val="singleLevel"/>
    <w:tmpl w:val="692A871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06247"/>
    <w:rsid w:val="00881676"/>
    <w:rsid w:val="0F461BAC"/>
    <w:rsid w:val="0F7C0542"/>
    <w:rsid w:val="149B2A0B"/>
    <w:rsid w:val="20E67351"/>
    <w:rsid w:val="28606852"/>
    <w:rsid w:val="29EF7861"/>
    <w:rsid w:val="30B903A5"/>
    <w:rsid w:val="30BE2A8F"/>
    <w:rsid w:val="3AE52C84"/>
    <w:rsid w:val="429F3322"/>
    <w:rsid w:val="43102595"/>
    <w:rsid w:val="4A1504A0"/>
    <w:rsid w:val="50D67951"/>
    <w:rsid w:val="52C14B04"/>
    <w:rsid w:val="55A02E49"/>
    <w:rsid w:val="57E83927"/>
    <w:rsid w:val="58E06247"/>
    <w:rsid w:val="62BE45AF"/>
    <w:rsid w:val="64A2122F"/>
    <w:rsid w:val="6713109A"/>
    <w:rsid w:val="67B42849"/>
    <w:rsid w:val="71BD756A"/>
    <w:rsid w:val="751B6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7">
    <w:name w:val="样式3"/>
    <w:basedOn w:val="1"/>
    <w:qFormat/>
    <w:uiPriority w:val="0"/>
    <w:rPr>
      <w:rFonts w:ascii="Times New Roman" w:hAnsi="Times New Roman" w:eastAsia="仿宋_GB2312" w:cs="Times New Roman"/>
      <w:spacing w:val="113"/>
      <w:sz w:val="32"/>
    </w:rPr>
  </w:style>
  <w:style w:type="paragraph" w:customStyle="1" w:styleId="8">
    <w:name w:val="样式4"/>
    <w:basedOn w:val="1"/>
    <w:qFormat/>
    <w:uiPriority w:val="0"/>
    <w:rPr>
      <w:rFonts w:ascii="Times New Roman" w:hAnsi="Times New Roman" w:eastAsia="仿宋_GB2312" w:cs="Times New Roman"/>
      <w:snapToGrid w:val="0"/>
      <w:spacing w:val="79"/>
      <w:sz w:val="32"/>
    </w:rPr>
  </w:style>
  <w:style w:type="paragraph" w:customStyle="1" w:styleId="9">
    <w:name w:val="样式6"/>
    <w:basedOn w:val="1"/>
    <w:qFormat/>
    <w:uiPriority w:val="0"/>
    <w:rPr>
      <w:rFonts w:ascii="Times New Roman" w:hAnsi="Times New Roman" w:eastAsia="仿宋_GB2312" w:cs="Times New Roman"/>
      <w:spacing w:val="57"/>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2020-10-27T13:06:00Z</dcterms:created>
  <dc:creator>Administrator</dc:creator>
  <cp:lastModifiedBy>lenovo</cp:lastModifiedBy>
  <cp:lastPrinted>2021-12-03T03:27:00Z</cp:lastPrinted>
  <dcterms:modified xsi:type="dcterms:W3CDTF">2022-01-30T02:17:59Z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F1DB8DBBEC1A4DCFBF54CCB5C1BA51F1</vt:lpwstr>
  </property>
</Properties>
</file>