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南岳区景区门票管理中心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6"/>
                <w:szCs w:val="36"/>
              </w:rPr>
              <w:t>站所管理日常经费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站所管理日常经费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聂裕垚13875758038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景区门票管理中心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景区门票管理中心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保证站所日常工作运转，加强单位文化建设，严厉打击门票逃票、带客行为，保证门票收入不受流失。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全年完成门票收入2.83亿元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参与活动人次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≥200人次　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＝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冲卡逃票扰乱门票秩序的行为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=0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=0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维护站所日常工作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365天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365天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＝1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维护站点正常秩序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提高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提高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＝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D7B157B"/>
    <w:rsid w:val="149B2A0B"/>
    <w:rsid w:val="1E763AF7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B87EE7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2021-12-03T03:27:00Z</cp:lastPrinted>
  <dcterms:modified xsi:type="dcterms:W3CDTF">2022-01-28T02:58:20Z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13D666D8EA1C47F0A6530A58579E3562</vt:lpwstr>
  </property>
</Properties>
</file>