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"/>
        <w:gridCol w:w="1448"/>
        <w:gridCol w:w="236"/>
        <w:gridCol w:w="1364"/>
        <w:gridCol w:w="42"/>
        <w:gridCol w:w="5"/>
        <w:gridCol w:w="360"/>
        <w:gridCol w:w="53"/>
        <w:gridCol w:w="360"/>
        <w:gridCol w:w="535"/>
        <w:gridCol w:w="105"/>
        <w:gridCol w:w="307"/>
        <w:gridCol w:w="413"/>
        <w:gridCol w:w="287"/>
        <w:gridCol w:w="413"/>
        <w:gridCol w:w="520"/>
        <w:gridCol w:w="447"/>
        <w:gridCol w:w="413"/>
        <w:gridCol w:w="240"/>
        <w:gridCol w:w="267"/>
        <w:gridCol w:w="413"/>
        <w:gridCol w:w="1102"/>
        <w:gridCol w:w="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05" w:hRule="atLeast"/>
          <w:jc w:val="center"/>
        </w:trPr>
        <w:tc>
          <w:tcPr>
            <w:tcW w:w="1017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专项资金预算绩效目标申报表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2" w:hRule="atLeast"/>
          <w:jc w:val="center"/>
        </w:trPr>
        <w:tc>
          <w:tcPr>
            <w:tcW w:w="1017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2" w:hRule="atLeast"/>
          <w:jc w:val="center"/>
        </w:trPr>
        <w:tc>
          <w:tcPr>
            <w:tcW w:w="525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填报单位（盖章）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南岳区寿岳乡人民政府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单位负责人：曹志波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乡镇专项业务费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新增项目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延续项目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南岳区寿岳乡人民政府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2023.1-2023.12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曹志波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周鹏13789375926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03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包含了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融风险防控经费、人大活动费、综合治理经费、乡镇纪检经费、工会、妇联基层组织活动经费、统计经费、政协活动费、风景资源保护、党建经费、计生经费、统战经费、信访维稳、应急及安全生产、社会治理中心、人武经费、旅游综治、村（社区）财务管理、禁毒经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专项立项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依据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92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上级相关部门考核配套资金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96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60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2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86" w:hRule="atLeast"/>
          <w:jc w:val="center"/>
        </w:trPr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2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南岳区寿岳乡人民政府财务管理制度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54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-110"/>
              <w:textAlignment w:val="auto"/>
              <w:rPr>
                <w:rFonts w:hint="eastAsia" w:ascii="仿宋" w:hAnsi="仿宋" w:eastAsia="仿宋" w:cs="仿宋"/>
                <w:color w:val="2B2B2B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提升安全生产检查覆盖率至100%，优化安全生产环境；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全面推进城乡养老保险工作农合工作完成；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完成上级交办的各项任务等。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66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确保各项考核指标完成，保障各项工作顺利实施。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900" w:hRule="atLeast"/>
          <w:jc w:val="center"/>
        </w:trPr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指标</w:t>
            </w:r>
          </w:p>
        </w:tc>
        <w:tc>
          <w:tcPr>
            <w:tcW w:w="16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  <w:t>安全检查次数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  <w:t>全年安全生产事件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  <w:t>参保率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2023.1-2023.12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  <w:t>预算保障金额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保障群众人身财产安全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无安全生产事故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城乡医保工作积极推广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生态环境的保护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保护森林植被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社会群众的满意度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005" w:hRule="atLeast"/>
          <w:jc w:val="center"/>
        </w:trPr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2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61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633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jdkYjRkZWYzZDZmYzViNmNkOWNjNmFmMjFhZjgifQ=="/>
  </w:docVars>
  <w:rsids>
    <w:rsidRoot w:val="79797D42"/>
    <w:rsid w:val="006434DB"/>
    <w:rsid w:val="00766352"/>
    <w:rsid w:val="00EB5C1B"/>
    <w:rsid w:val="09D24067"/>
    <w:rsid w:val="0FE37641"/>
    <w:rsid w:val="17A475B3"/>
    <w:rsid w:val="2B7B4E29"/>
    <w:rsid w:val="3A1E051A"/>
    <w:rsid w:val="45C324B7"/>
    <w:rsid w:val="46CE7EBD"/>
    <w:rsid w:val="4E062FF2"/>
    <w:rsid w:val="54F46532"/>
    <w:rsid w:val="619E392D"/>
    <w:rsid w:val="630B2337"/>
    <w:rsid w:val="68FD54B6"/>
    <w:rsid w:val="79797D42"/>
    <w:rsid w:val="7F903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550</Words>
  <Characters>614</Characters>
  <Lines>7</Lines>
  <Paragraphs>2</Paragraphs>
  <TotalTime>1</TotalTime>
  <ScaleCrop>false</ScaleCrop>
  <LinksUpToDate>false</LinksUpToDate>
  <CharactersWithSpaces>818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2020-07-06T07:43:00Z</dcterms:created>
  <dc:creator>三乙文</dc:creator>
  <cp:lastModifiedBy>lenovo</cp:lastModifiedBy>
  <dcterms:modified xsi:type="dcterms:W3CDTF">2023-04-23T04:37:17Z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7397CC27CEFF44139535321CECC2ADC0_12</vt:lpwstr>
  </property>
</Properties>
</file>