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南岳区发展和改革局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胡朝军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110千伏火车站变电站新建工程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经济和社会发展规划股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2023年1.1-12.31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杨钧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13975453283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项目位于万福村杨家台组，南岳黄金大道与天子山路西南角，总占地面积10670平方米，合计占地16亩。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建设集变电站、储能站、数据中心站及充电站多站合一的智能型户内式变电站；综合管廊建设及杆迁线路入地，计划总投资2.5亿元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关于核准湖南雁城-郴州东500千伏线路工程等16个电网项目的批复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湘发改能源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【2022】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640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640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hd w:val="clear" w:color="auto" w:fill="FFFFFF"/>
              <w:adjustRightInd/>
              <w:snapToGrid/>
              <w:spacing w:after="0" w:line="580" w:lineRule="exact"/>
              <w:ind w:leftChars="0" w:firstLine="420" w:firstLineChars="200"/>
              <w:jc w:val="left"/>
              <w:rPr>
                <w:rFonts w:hint="default" w:ascii="仿宋" w:hAnsi="仿宋" w:eastAsia="宋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</w:rPr>
              <w:t>负责能源规划与社会发展规划的协调衔接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>负责煤炭、电力、石油、天然气等经济保障要素的运行；负责电力行业管理及行政执法工作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jc w:val="left"/>
              <w:textAlignment w:val="auto"/>
              <w:rPr>
                <w:rFonts w:hint="default" w:ascii="仿宋" w:hAnsi="仿宋" w:eastAsia="宋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整合资源，完成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</w:rPr>
              <w:t>能源资源节约和综合利用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>促进社会发展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 xml:space="preserve">1、完成新建变电站场平以及基本完成变电站厂房建设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 xml:space="preserve"> 2、完成配套110KV进线电源及110KV出线通道施工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 xml:space="preserve"> 3、启动综合管廊建设及杆迁线路入地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2B2B2B"/>
                <w:kern w:val="3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2B2B2B"/>
                <w:kern w:val="36"/>
                <w:sz w:val="21"/>
                <w:szCs w:val="21"/>
                <w:lang w:val="en-US" w:eastAsia="zh-CN"/>
              </w:rPr>
              <w:t>智能型户内式变电站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2B2B2B"/>
                <w:kern w:val="3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>110KV进线电源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>110KV出线通道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60" w:firstLineChars="60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>占地面积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=16亩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工作达标率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事项完成及时率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不超出预算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≤640万元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　经济社会平稳运行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维护社会运行秩序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社会居民满意度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MjExMzgxYzg3YmJkZGM1MzFiMmNmNDBhYThiMzgifQ=="/>
  </w:docVars>
  <w:rsids>
    <w:rsidRoot w:val="79797D42"/>
    <w:rsid w:val="006434DB"/>
    <w:rsid w:val="00766352"/>
    <w:rsid w:val="00EB5C1B"/>
    <w:rsid w:val="02903005"/>
    <w:rsid w:val="03BD51A7"/>
    <w:rsid w:val="078C693E"/>
    <w:rsid w:val="09D24067"/>
    <w:rsid w:val="0FE37641"/>
    <w:rsid w:val="110E4DF8"/>
    <w:rsid w:val="188624F1"/>
    <w:rsid w:val="2B7B4E29"/>
    <w:rsid w:val="2E924382"/>
    <w:rsid w:val="37074CED"/>
    <w:rsid w:val="408D509E"/>
    <w:rsid w:val="45C324B7"/>
    <w:rsid w:val="46CE7EBD"/>
    <w:rsid w:val="4E062FF2"/>
    <w:rsid w:val="54F46532"/>
    <w:rsid w:val="619E392D"/>
    <w:rsid w:val="630B2337"/>
    <w:rsid w:val="68FD54B6"/>
    <w:rsid w:val="761F1748"/>
    <w:rsid w:val="78371EFA"/>
    <w:rsid w:val="79797D42"/>
    <w:rsid w:val="7B21097B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99"/>
    <w:pPr>
      <w:spacing w:after="120"/>
    </w:pPr>
    <w:rPr>
      <w:rFonts w:ascii="Times New Roman" w:hAnsi="Times New Roman" w:eastAsia="仿宋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629</Words>
  <Characters>698</Characters>
  <Lines>7</Lines>
  <Paragraphs>2</Paragraphs>
  <TotalTime>2</TotalTime>
  <ScaleCrop>false</ScaleCrop>
  <LinksUpToDate>false</LinksUpToDate>
  <CharactersWithSpaces>959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WPS_1639449620</cp:lastModifiedBy>
  <cp:lastPrinted>2023-04-25T01:40:00Z</cp:lastPrinted>
  <dcterms:modified xsi:type="dcterms:W3CDTF">2023-05-04T07:44:16Z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D436A295D7E04964B66AD08B69732A07</vt:lpwstr>
  </property>
</Properties>
</file>