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860"/>
        <w:gridCol w:w="240"/>
        <w:gridCol w:w="220"/>
        <w:gridCol w:w="47"/>
        <w:gridCol w:w="413"/>
        <w:gridCol w:w="947"/>
        <w:gridCol w:w="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05" w:hRule="atLeast"/>
          <w:jc w:val="center"/>
        </w:trPr>
        <w:tc>
          <w:tcPr>
            <w:tcW w:w="1002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1002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南岳区卫生健康局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熊水球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景区救护运转经费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延续项目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南岳区政府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2023年1月1日至2023年12月31日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赵丽琼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李霞    15200521876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2023年景区救护运转经费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</w:rPr>
              <w:t>景区设置救护站，在国家法定节假日和旅游黄金周加设南天门临时救护点，免费发放紧急急救药物和外伤处置用品，诊治病人。维护维修急诊急救的医疗设备。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8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18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27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专人专管、认真审核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</w:rPr>
              <w:t>景区设置救护站，在国家法定节假日和旅游黄金周加设南天门临时救护点，免费发放紧急急救药物和外伤处置用品，诊治病人。维护维修急诊急救的医疗设备。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</w:rPr>
              <w:t>景区设置救护站，在国家法定节假日和旅游黄金周加设南天门临时救护点，免费发放紧急急救药物和外伤处置用品，诊治病人。维护维修急诊急救的医疗设备。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景区救护站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2个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全年景区救护站共接诊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全年景区救护站出诊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医疗救护车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0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景区医疗保障安全率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9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救治病人治愈率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9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B2B2B"/>
                <w:kern w:val="36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接诊出诊送诊及时率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设备维修维护费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药品购置费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临时人员经费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车辆使用费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经济效益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不适用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保证游客生命安全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1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游客满意度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13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27" w:type="dxa"/>
            <w:gridSpan w:val="1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82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229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hjZDIxNDNlYzg2ZmQ1NWU2NDI5MGJkMGE4YmUifQ=="/>
  </w:docVars>
  <w:rsids>
    <w:rsidRoot w:val="79797D42"/>
    <w:rsid w:val="006434DB"/>
    <w:rsid w:val="00766352"/>
    <w:rsid w:val="00EB5C1B"/>
    <w:rsid w:val="02E0230F"/>
    <w:rsid w:val="041B07F0"/>
    <w:rsid w:val="0771286B"/>
    <w:rsid w:val="086E4EE1"/>
    <w:rsid w:val="09D24067"/>
    <w:rsid w:val="0D1E13DD"/>
    <w:rsid w:val="0FE37641"/>
    <w:rsid w:val="11C8555C"/>
    <w:rsid w:val="1A93460C"/>
    <w:rsid w:val="1D3D55EB"/>
    <w:rsid w:val="252B5D8A"/>
    <w:rsid w:val="2B7B4E29"/>
    <w:rsid w:val="342F1E6D"/>
    <w:rsid w:val="424571AF"/>
    <w:rsid w:val="46CE7EBD"/>
    <w:rsid w:val="4E062FF2"/>
    <w:rsid w:val="4E14670F"/>
    <w:rsid w:val="50503DEC"/>
    <w:rsid w:val="54F46532"/>
    <w:rsid w:val="5CA670FF"/>
    <w:rsid w:val="5CB355DB"/>
    <w:rsid w:val="619E392D"/>
    <w:rsid w:val="630B2337"/>
    <w:rsid w:val="65600023"/>
    <w:rsid w:val="68FD54B6"/>
    <w:rsid w:val="706C436B"/>
    <w:rsid w:val="79797D42"/>
    <w:rsid w:val="7A0B3E1F"/>
    <w:rsid w:val="7D887CE9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5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1">
    <w:name w:val="font41"/>
    <w:basedOn w:val="5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781</Words>
  <Characters>826</Characters>
  <Lines>7</Lines>
  <Paragraphs>2</Paragraphs>
  <TotalTime>0</TotalTime>
  <ScaleCrop>false</ScaleCrop>
  <LinksUpToDate>false</LinksUpToDate>
  <CharactersWithSpaces>1034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倩倩</cp:lastModifiedBy>
  <cp:lastPrinted>2023-02-10T08:51:00Z</cp:lastPrinted>
  <dcterms:modified xsi:type="dcterms:W3CDTF">2023-05-26T07:22:14Z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646FC03596F2449186935099E40F39D8</vt:lpwstr>
  </property>
</Properties>
</file>