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436" w:type="dxa"/>
        <w:jc w:val="center"/>
        <w:tblLayout w:type="fixed"/>
        <w:tblCellMar>
          <w:top w:w="0" w:type="dxa"/>
          <w:left w:w="108" w:type="dxa"/>
          <w:bottom w:w="0" w:type="dxa"/>
          <w:right w:w="108" w:type="dxa"/>
        </w:tblCellMar>
      </w:tblPr>
      <w:tblGrid>
        <w:gridCol w:w="846"/>
        <w:gridCol w:w="2"/>
        <w:gridCol w:w="1448"/>
        <w:gridCol w:w="236"/>
        <w:gridCol w:w="1364"/>
        <w:gridCol w:w="47"/>
        <w:gridCol w:w="360"/>
        <w:gridCol w:w="53"/>
        <w:gridCol w:w="360"/>
        <w:gridCol w:w="535"/>
        <w:gridCol w:w="105"/>
        <w:gridCol w:w="307"/>
        <w:gridCol w:w="413"/>
        <w:gridCol w:w="287"/>
        <w:gridCol w:w="413"/>
        <w:gridCol w:w="520"/>
        <w:gridCol w:w="860"/>
        <w:gridCol w:w="240"/>
        <w:gridCol w:w="220"/>
        <w:gridCol w:w="47"/>
        <w:gridCol w:w="413"/>
        <w:gridCol w:w="947"/>
        <w:gridCol w:w="413"/>
      </w:tblGrid>
      <w:tr>
        <w:tblPrEx>
          <w:tblCellMar>
            <w:top w:w="0" w:type="dxa"/>
            <w:left w:w="108" w:type="dxa"/>
            <w:bottom w:w="0" w:type="dxa"/>
            <w:right w:w="108" w:type="dxa"/>
          </w:tblCellMar>
        </w:tblPrEx>
        <w:trPr>
          <w:trHeight w:val="402" w:hRule="atLeast"/>
          <w:jc w:val="center"/>
        </w:trPr>
        <w:tc>
          <w:tcPr>
            <w:tcW w:w="2296" w:type="dxa"/>
            <w:gridSpan w:val="3"/>
            <w:tcBorders>
              <w:top w:val="nil"/>
              <w:left w:val="nil"/>
              <w:bottom w:val="nil"/>
              <w:right w:val="nil"/>
            </w:tcBorders>
            <w:noWrap/>
            <w:vAlign w:val="bottom"/>
          </w:tcPr>
          <w:p>
            <w:pPr>
              <w:widowControl/>
              <w:jc w:val="left"/>
              <w:rPr>
                <w:rFonts w:ascii="黑体" w:hAnsi="黑体" w:eastAsia="黑体" w:cs="宋体"/>
                <w:kern w:val="0"/>
                <w:sz w:val="28"/>
                <w:szCs w:val="28"/>
              </w:rPr>
            </w:pPr>
          </w:p>
        </w:tc>
        <w:tc>
          <w:tcPr>
            <w:tcW w:w="236" w:type="dxa"/>
            <w:tcBorders>
              <w:top w:val="nil"/>
              <w:left w:val="nil"/>
              <w:bottom w:val="nil"/>
              <w:right w:val="nil"/>
            </w:tcBorders>
            <w:noWrap/>
            <w:vAlign w:val="bottom"/>
          </w:tcPr>
          <w:p>
            <w:pPr>
              <w:widowControl/>
              <w:jc w:val="left"/>
              <w:rPr>
                <w:rFonts w:ascii="宋体" w:hAnsi="宋体" w:cs="宋体"/>
                <w:kern w:val="0"/>
                <w:sz w:val="24"/>
              </w:rPr>
            </w:pPr>
          </w:p>
        </w:tc>
        <w:tc>
          <w:tcPr>
            <w:tcW w:w="1364" w:type="dxa"/>
            <w:tcBorders>
              <w:top w:val="nil"/>
              <w:left w:val="nil"/>
              <w:bottom w:val="nil"/>
              <w:right w:val="nil"/>
            </w:tcBorders>
            <w:noWrap/>
            <w:vAlign w:val="bottom"/>
          </w:tcPr>
          <w:p>
            <w:pPr>
              <w:widowControl/>
              <w:jc w:val="left"/>
              <w:rPr>
                <w:rFonts w:ascii="宋体" w:hAnsi="宋体" w:cs="宋体"/>
                <w:kern w:val="0"/>
                <w:sz w:val="24"/>
              </w:rPr>
            </w:pPr>
          </w:p>
        </w:tc>
        <w:tc>
          <w:tcPr>
            <w:tcW w:w="460" w:type="dxa"/>
            <w:gridSpan w:val="3"/>
            <w:tcBorders>
              <w:top w:val="nil"/>
              <w:left w:val="nil"/>
              <w:bottom w:val="nil"/>
              <w:right w:val="nil"/>
            </w:tcBorders>
            <w:noWrap/>
            <w:vAlign w:val="bottom"/>
          </w:tcPr>
          <w:p>
            <w:pPr>
              <w:widowControl/>
              <w:jc w:val="left"/>
              <w:rPr>
                <w:rFonts w:ascii="宋体" w:hAnsi="宋体" w:cs="宋体"/>
                <w:kern w:val="0"/>
                <w:sz w:val="24"/>
              </w:rPr>
            </w:pPr>
          </w:p>
        </w:tc>
        <w:tc>
          <w:tcPr>
            <w:tcW w:w="360" w:type="dxa"/>
            <w:tcBorders>
              <w:top w:val="nil"/>
              <w:left w:val="nil"/>
              <w:bottom w:val="nil"/>
              <w:right w:val="nil"/>
            </w:tcBorders>
            <w:noWrap/>
            <w:vAlign w:val="bottom"/>
          </w:tcPr>
          <w:p>
            <w:pPr>
              <w:widowControl/>
              <w:jc w:val="left"/>
              <w:rPr>
                <w:rFonts w:ascii="宋体" w:hAnsi="宋体" w:cs="宋体"/>
                <w:kern w:val="0"/>
                <w:sz w:val="24"/>
              </w:rPr>
            </w:pPr>
          </w:p>
        </w:tc>
        <w:tc>
          <w:tcPr>
            <w:tcW w:w="640" w:type="dxa"/>
            <w:gridSpan w:val="2"/>
            <w:tcBorders>
              <w:top w:val="nil"/>
              <w:left w:val="nil"/>
              <w:bottom w:val="nil"/>
              <w:right w:val="nil"/>
            </w:tcBorders>
            <w:noWrap/>
            <w:vAlign w:val="bottom"/>
          </w:tcPr>
          <w:p>
            <w:pPr>
              <w:widowControl/>
              <w:jc w:val="left"/>
              <w:rPr>
                <w:rFonts w:ascii="宋体" w:hAnsi="宋体" w:cs="宋体"/>
                <w:kern w:val="0"/>
                <w:sz w:val="24"/>
              </w:rPr>
            </w:pPr>
          </w:p>
        </w:tc>
        <w:tc>
          <w:tcPr>
            <w:tcW w:w="720" w:type="dxa"/>
            <w:gridSpan w:val="2"/>
            <w:tcBorders>
              <w:top w:val="nil"/>
              <w:left w:val="nil"/>
              <w:bottom w:val="nil"/>
              <w:right w:val="nil"/>
            </w:tcBorders>
            <w:noWrap/>
            <w:vAlign w:val="bottom"/>
          </w:tcPr>
          <w:p>
            <w:pPr>
              <w:widowControl/>
              <w:jc w:val="left"/>
              <w:rPr>
                <w:rFonts w:ascii="宋体" w:hAnsi="宋体" w:cs="宋体"/>
                <w:kern w:val="0"/>
                <w:sz w:val="24"/>
              </w:rPr>
            </w:pPr>
          </w:p>
        </w:tc>
        <w:tc>
          <w:tcPr>
            <w:tcW w:w="700" w:type="dxa"/>
            <w:gridSpan w:val="2"/>
            <w:tcBorders>
              <w:top w:val="nil"/>
              <w:left w:val="nil"/>
              <w:bottom w:val="nil"/>
              <w:right w:val="nil"/>
            </w:tcBorders>
            <w:noWrap/>
            <w:vAlign w:val="bottom"/>
          </w:tcPr>
          <w:p>
            <w:pPr>
              <w:widowControl/>
              <w:jc w:val="left"/>
              <w:rPr>
                <w:rFonts w:ascii="宋体" w:hAnsi="宋体" w:cs="宋体"/>
                <w:kern w:val="0"/>
                <w:sz w:val="24"/>
              </w:rPr>
            </w:pPr>
          </w:p>
        </w:tc>
        <w:tc>
          <w:tcPr>
            <w:tcW w:w="520" w:type="dxa"/>
            <w:tcBorders>
              <w:top w:val="nil"/>
              <w:left w:val="nil"/>
              <w:bottom w:val="nil"/>
              <w:right w:val="nil"/>
            </w:tcBorders>
            <w:noWrap/>
            <w:vAlign w:val="bottom"/>
          </w:tcPr>
          <w:p>
            <w:pPr>
              <w:widowControl/>
              <w:jc w:val="left"/>
              <w:rPr>
                <w:rFonts w:ascii="宋体" w:hAnsi="宋体" w:cs="宋体"/>
                <w:kern w:val="0"/>
                <w:sz w:val="24"/>
              </w:rPr>
            </w:pPr>
          </w:p>
        </w:tc>
        <w:tc>
          <w:tcPr>
            <w:tcW w:w="860" w:type="dxa"/>
            <w:tcBorders>
              <w:top w:val="nil"/>
              <w:left w:val="nil"/>
              <w:bottom w:val="nil"/>
              <w:right w:val="nil"/>
            </w:tcBorders>
            <w:noWrap/>
            <w:vAlign w:val="bottom"/>
          </w:tcPr>
          <w:p>
            <w:pPr>
              <w:widowControl/>
              <w:jc w:val="left"/>
              <w:rPr>
                <w:rFonts w:ascii="宋体" w:hAnsi="宋体" w:cs="宋体"/>
                <w:kern w:val="0"/>
                <w:sz w:val="24"/>
              </w:rPr>
            </w:pPr>
          </w:p>
        </w:tc>
        <w:tc>
          <w:tcPr>
            <w:tcW w:w="240" w:type="dxa"/>
            <w:tcBorders>
              <w:top w:val="nil"/>
              <w:left w:val="nil"/>
              <w:bottom w:val="nil"/>
              <w:right w:val="nil"/>
            </w:tcBorders>
            <w:noWrap/>
            <w:vAlign w:val="bottom"/>
          </w:tcPr>
          <w:p>
            <w:pPr>
              <w:widowControl/>
              <w:jc w:val="left"/>
              <w:rPr>
                <w:rFonts w:ascii="宋体" w:hAnsi="宋体" w:cs="宋体"/>
                <w:kern w:val="0"/>
                <w:sz w:val="24"/>
              </w:rPr>
            </w:pPr>
          </w:p>
        </w:tc>
        <w:tc>
          <w:tcPr>
            <w:tcW w:w="680" w:type="dxa"/>
            <w:gridSpan w:val="3"/>
            <w:tcBorders>
              <w:top w:val="nil"/>
              <w:left w:val="nil"/>
              <w:bottom w:val="nil"/>
              <w:right w:val="nil"/>
            </w:tcBorders>
            <w:noWrap/>
            <w:vAlign w:val="bottom"/>
          </w:tcPr>
          <w:p>
            <w:pPr>
              <w:widowControl/>
              <w:jc w:val="left"/>
              <w:rPr>
                <w:rFonts w:ascii="宋体" w:hAnsi="宋体" w:cs="宋体"/>
                <w:kern w:val="0"/>
                <w:sz w:val="24"/>
              </w:rPr>
            </w:pPr>
          </w:p>
        </w:tc>
        <w:tc>
          <w:tcPr>
            <w:tcW w:w="1360" w:type="dxa"/>
            <w:gridSpan w:val="2"/>
            <w:tcBorders>
              <w:top w:val="nil"/>
              <w:left w:val="nil"/>
              <w:bottom w:val="nil"/>
              <w:right w:val="nil"/>
            </w:tcBorders>
            <w:noWrap/>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413" w:type="dxa"/>
          <w:trHeight w:val="705" w:hRule="atLeast"/>
          <w:jc w:val="center"/>
        </w:trPr>
        <w:tc>
          <w:tcPr>
            <w:tcW w:w="10023" w:type="dxa"/>
            <w:gridSpan w:val="22"/>
            <w:tcBorders>
              <w:top w:val="nil"/>
              <w:left w:val="nil"/>
              <w:bottom w:val="nil"/>
              <w:right w:val="nil"/>
            </w:tcBorders>
            <w:noWrap/>
            <w:vAlign w:val="center"/>
          </w:tcPr>
          <w:p>
            <w:pPr>
              <w:widowControl/>
              <w:jc w:val="center"/>
              <w:rPr>
                <w:rFonts w:ascii="黑体" w:hAnsi="黑体" w:eastAsia="黑体" w:cs="宋体"/>
                <w:kern w:val="0"/>
                <w:sz w:val="44"/>
                <w:szCs w:val="44"/>
              </w:rPr>
            </w:pPr>
            <w:r>
              <w:rPr>
                <w:rFonts w:hint="eastAsia" w:ascii="黑体" w:hAnsi="黑体" w:eastAsia="黑体" w:cs="宋体"/>
                <w:kern w:val="0"/>
                <w:sz w:val="44"/>
                <w:szCs w:val="44"/>
              </w:rPr>
              <w:t>专项资金预算绩效目标申报表</w:t>
            </w:r>
          </w:p>
        </w:tc>
      </w:tr>
      <w:tr>
        <w:tblPrEx>
          <w:tblCellMar>
            <w:top w:w="0" w:type="dxa"/>
            <w:left w:w="108" w:type="dxa"/>
            <w:bottom w:w="0" w:type="dxa"/>
            <w:right w:w="108" w:type="dxa"/>
          </w:tblCellMar>
        </w:tblPrEx>
        <w:trPr>
          <w:gridAfter w:val="1"/>
          <w:wAfter w:w="413" w:type="dxa"/>
          <w:trHeight w:val="402" w:hRule="atLeast"/>
          <w:jc w:val="center"/>
        </w:trPr>
        <w:tc>
          <w:tcPr>
            <w:tcW w:w="10023" w:type="dxa"/>
            <w:gridSpan w:val="22"/>
            <w:tcBorders>
              <w:top w:val="nil"/>
              <w:left w:val="nil"/>
              <w:bottom w:val="nil"/>
              <w:right w:val="nil"/>
            </w:tcBorders>
            <w:noWrap/>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（202</w:t>
            </w:r>
            <w:r>
              <w:rPr>
                <w:rFonts w:hint="eastAsia" w:ascii="仿宋_GB2312" w:hAnsi="宋体" w:eastAsia="仿宋_GB2312" w:cs="宋体"/>
                <w:b/>
                <w:bCs/>
                <w:kern w:val="0"/>
                <w:sz w:val="32"/>
                <w:szCs w:val="32"/>
                <w:lang w:val="en-US" w:eastAsia="zh-CN"/>
              </w:rPr>
              <w:t>3</w:t>
            </w:r>
            <w:r>
              <w:rPr>
                <w:rFonts w:hint="eastAsia" w:ascii="仿宋_GB2312" w:hAnsi="宋体" w:eastAsia="仿宋_GB2312" w:cs="宋体"/>
                <w:b/>
                <w:bCs/>
                <w:kern w:val="0"/>
                <w:sz w:val="32"/>
                <w:szCs w:val="32"/>
              </w:rPr>
              <w:t>年度）</w:t>
            </w:r>
          </w:p>
        </w:tc>
      </w:tr>
      <w:tr>
        <w:tblPrEx>
          <w:tblCellMar>
            <w:top w:w="0" w:type="dxa"/>
            <w:left w:w="108" w:type="dxa"/>
            <w:bottom w:w="0" w:type="dxa"/>
            <w:right w:w="108" w:type="dxa"/>
          </w:tblCellMar>
        </w:tblPrEx>
        <w:trPr>
          <w:gridAfter w:val="1"/>
          <w:wAfter w:w="413" w:type="dxa"/>
          <w:trHeight w:val="402" w:hRule="atLeast"/>
          <w:jc w:val="center"/>
        </w:trPr>
        <w:tc>
          <w:tcPr>
            <w:tcW w:w="5251" w:type="dxa"/>
            <w:gridSpan w:val="10"/>
            <w:tcBorders>
              <w:top w:val="nil"/>
              <w:left w:val="nil"/>
              <w:bottom w:val="nil"/>
              <w:right w:val="nil"/>
            </w:tcBorders>
            <w:noWrap/>
            <w:vAlign w:val="center"/>
          </w:tcPr>
          <w:p>
            <w:pPr>
              <w:widowControl/>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 xml:space="preserve"> 填报单位（盖章）</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南岳区卫生健康局</w:t>
            </w:r>
          </w:p>
        </w:tc>
        <w:tc>
          <w:tcPr>
            <w:tcW w:w="412" w:type="dxa"/>
            <w:gridSpan w:val="2"/>
            <w:tcBorders>
              <w:top w:val="nil"/>
              <w:left w:val="nil"/>
              <w:bottom w:val="nil"/>
              <w:right w:val="nil"/>
            </w:tcBorders>
            <w:noWrap/>
            <w:vAlign w:val="center"/>
          </w:tcPr>
          <w:p>
            <w:pPr>
              <w:widowControl/>
              <w:jc w:val="left"/>
              <w:rPr>
                <w:rFonts w:ascii="仿宋_GB2312" w:hAnsi="宋体" w:eastAsia="仿宋_GB2312" w:cs="宋体"/>
                <w:kern w:val="0"/>
                <w:sz w:val="28"/>
                <w:szCs w:val="28"/>
              </w:rPr>
            </w:pPr>
          </w:p>
        </w:tc>
        <w:tc>
          <w:tcPr>
            <w:tcW w:w="3000" w:type="dxa"/>
            <w:gridSpan w:val="8"/>
            <w:tcBorders>
              <w:top w:val="nil"/>
              <w:left w:val="nil"/>
              <w:bottom w:val="nil"/>
              <w:right w:val="nil"/>
            </w:tcBorders>
            <w:noWrap/>
            <w:vAlign w:val="center"/>
          </w:tcPr>
          <w:p>
            <w:pPr>
              <w:widowControl/>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单位负责人：</w:t>
            </w:r>
            <w:r>
              <w:rPr>
                <w:rFonts w:hint="eastAsia" w:ascii="仿宋_GB2312" w:hAnsi="宋体" w:eastAsia="仿宋_GB2312" w:cs="宋体"/>
                <w:kern w:val="0"/>
                <w:sz w:val="28"/>
                <w:szCs w:val="28"/>
                <w:lang w:val="en-US" w:eastAsia="zh-CN"/>
              </w:rPr>
              <w:t>熊水球</w:t>
            </w:r>
          </w:p>
        </w:tc>
        <w:tc>
          <w:tcPr>
            <w:tcW w:w="1360" w:type="dxa"/>
            <w:gridSpan w:val="2"/>
            <w:tcBorders>
              <w:top w:val="nil"/>
              <w:left w:val="nil"/>
              <w:bottom w:val="nil"/>
              <w:right w:val="nil"/>
            </w:tcBorders>
            <w:noWrap/>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gridAfter w:val="1"/>
          <w:wAfter w:w="413" w:type="dxa"/>
          <w:trHeight w:val="420" w:hRule="atLeast"/>
          <w:jc w:val="center"/>
        </w:trPr>
        <w:tc>
          <w:tcPr>
            <w:tcW w:w="846"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专项基本情况</w:t>
            </w:r>
          </w:p>
        </w:tc>
        <w:tc>
          <w:tcPr>
            <w:tcW w:w="145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专项名称</w:t>
            </w:r>
          </w:p>
        </w:tc>
        <w:tc>
          <w:tcPr>
            <w:tcW w:w="7727" w:type="dxa"/>
            <w:gridSpan w:val="19"/>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新冠疫情防控经费</w:t>
            </w:r>
          </w:p>
        </w:tc>
      </w:tr>
      <w:tr>
        <w:tblPrEx>
          <w:tblCellMar>
            <w:top w:w="0" w:type="dxa"/>
            <w:left w:w="108" w:type="dxa"/>
            <w:bottom w:w="0" w:type="dxa"/>
            <w:right w:w="108" w:type="dxa"/>
          </w:tblCellMar>
        </w:tblPrEx>
        <w:trPr>
          <w:gridAfter w:val="1"/>
          <w:wAfter w:w="413" w:type="dxa"/>
          <w:trHeight w:val="420" w:hRule="atLeast"/>
          <w:jc w:val="center"/>
        </w:trPr>
        <w:tc>
          <w:tcPr>
            <w:tcW w:w="84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50"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专项属性</w:t>
            </w:r>
          </w:p>
        </w:tc>
        <w:tc>
          <w:tcPr>
            <w:tcW w:w="7727" w:type="dxa"/>
            <w:gridSpan w:val="19"/>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rPr>
              <w:t>新增项目</w:t>
            </w:r>
            <w:r>
              <w:rPr>
                <w:rFonts w:hint="eastAsia" w:ascii="仿宋" w:hAnsi="仿宋" w:eastAsia="仿宋" w:cs="仿宋"/>
                <w:b w:val="0"/>
                <w:bCs w:val="0"/>
                <w:kern w:val="0"/>
                <w:sz w:val="28"/>
                <w:szCs w:val="28"/>
              </w:rPr>
              <w:t xml:space="preserve"> </w:t>
            </w:r>
            <w:r>
              <w:rPr>
                <w:rFonts w:hint="eastAsia" w:ascii="仿宋" w:hAnsi="仿宋" w:eastAsia="仿宋" w:cs="仿宋"/>
                <w:kern w:val="0"/>
                <w:sz w:val="28"/>
                <w:szCs w:val="28"/>
              </w:rPr>
              <w:t xml:space="preserve">                      延续项目</w:t>
            </w:r>
            <w:r>
              <w:rPr>
                <w:rFonts w:hint="eastAsia" w:ascii="仿宋" w:hAnsi="仿宋" w:eastAsia="仿宋" w:cs="仿宋"/>
                <w:b/>
                <w:bCs/>
                <w:kern w:val="0"/>
                <w:sz w:val="28"/>
                <w:szCs w:val="28"/>
                <w:lang w:eastAsia="zh-CN"/>
              </w:rPr>
              <w:sym w:font="Wingdings 2" w:char="0052"/>
            </w:r>
          </w:p>
        </w:tc>
      </w:tr>
      <w:tr>
        <w:tblPrEx>
          <w:tblCellMar>
            <w:top w:w="0" w:type="dxa"/>
            <w:left w:w="108" w:type="dxa"/>
            <w:bottom w:w="0" w:type="dxa"/>
            <w:right w:w="108" w:type="dxa"/>
          </w:tblCellMar>
        </w:tblPrEx>
        <w:trPr>
          <w:gridAfter w:val="1"/>
          <w:wAfter w:w="413" w:type="dxa"/>
          <w:trHeight w:val="420" w:hRule="atLeast"/>
          <w:jc w:val="center"/>
        </w:trPr>
        <w:tc>
          <w:tcPr>
            <w:tcW w:w="84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主管</w:t>
            </w:r>
          </w:p>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部门</w:t>
            </w:r>
          </w:p>
        </w:tc>
        <w:tc>
          <w:tcPr>
            <w:tcW w:w="2007" w:type="dxa"/>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rPr>
              <w:t>　</w:t>
            </w:r>
            <w:r>
              <w:rPr>
                <w:rFonts w:hint="eastAsia" w:ascii="仿宋" w:hAnsi="仿宋" w:eastAsia="仿宋" w:cs="仿宋"/>
                <w:kern w:val="0"/>
                <w:sz w:val="28"/>
                <w:szCs w:val="28"/>
                <w:lang w:eastAsia="zh-CN"/>
              </w:rPr>
              <w:t>南岳区政府</w:t>
            </w:r>
          </w:p>
        </w:tc>
        <w:tc>
          <w:tcPr>
            <w:tcW w:w="2060" w:type="dxa"/>
            <w:gridSpan w:val="7"/>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 专项起止时间</w:t>
            </w:r>
          </w:p>
        </w:tc>
        <w:tc>
          <w:tcPr>
            <w:tcW w:w="3660" w:type="dxa"/>
            <w:gridSpan w:val="8"/>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2023年1月1日至2023年12月31日</w:t>
            </w:r>
          </w:p>
        </w:tc>
      </w:tr>
      <w:tr>
        <w:tblPrEx>
          <w:tblCellMar>
            <w:top w:w="0" w:type="dxa"/>
            <w:left w:w="108" w:type="dxa"/>
            <w:bottom w:w="0" w:type="dxa"/>
            <w:right w:w="108" w:type="dxa"/>
          </w:tblCellMar>
        </w:tblPrEx>
        <w:trPr>
          <w:gridAfter w:val="1"/>
          <w:wAfter w:w="413" w:type="dxa"/>
          <w:trHeight w:val="420" w:hRule="atLeast"/>
          <w:jc w:val="center"/>
        </w:trPr>
        <w:tc>
          <w:tcPr>
            <w:tcW w:w="84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专项</w:t>
            </w:r>
          </w:p>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负责人</w:t>
            </w:r>
          </w:p>
        </w:tc>
        <w:tc>
          <w:tcPr>
            <w:tcW w:w="2007" w:type="dxa"/>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赵丽琼</w:t>
            </w:r>
          </w:p>
        </w:tc>
        <w:tc>
          <w:tcPr>
            <w:tcW w:w="2060" w:type="dxa"/>
            <w:gridSpan w:val="7"/>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 联系人及电话</w:t>
            </w:r>
          </w:p>
        </w:tc>
        <w:tc>
          <w:tcPr>
            <w:tcW w:w="3660" w:type="dxa"/>
            <w:gridSpan w:val="8"/>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李霞    15200521876</w:t>
            </w:r>
          </w:p>
        </w:tc>
      </w:tr>
      <w:tr>
        <w:tblPrEx>
          <w:tblCellMar>
            <w:top w:w="0" w:type="dxa"/>
            <w:left w:w="108" w:type="dxa"/>
            <w:bottom w:w="0" w:type="dxa"/>
            <w:right w:w="108" w:type="dxa"/>
          </w:tblCellMar>
        </w:tblPrEx>
        <w:trPr>
          <w:gridAfter w:val="1"/>
          <w:wAfter w:w="413" w:type="dxa"/>
          <w:trHeight w:val="1032" w:hRule="atLeast"/>
          <w:jc w:val="center"/>
        </w:trPr>
        <w:tc>
          <w:tcPr>
            <w:tcW w:w="84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专项概况</w:t>
            </w:r>
          </w:p>
        </w:tc>
        <w:tc>
          <w:tcPr>
            <w:tcW w:w="7727" w:type="dxa"/>
            <w:gridSpan w:val="19"/>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结算新冠疫情防控经费（2022年隔离酒店费用和核酸检测费用等）</w:t>
            </w:r>
          </w:p>
        </w:tc>
      </w:tr>
      <w:tr>
        <w:tblPrEx>
          <w:tblCellMar>
            <w:top w:w="0" w:type="dxa"/>
            <w:left w:w="108" w:type="dxa"/>
            <w:bottom w:w="0" w:type="dxa"/>
            <w:right w:w="108" w:type="dxa"/>
          </w:tblCellMar>
        </w:tblPrEx>
        <w:trPr>
          <w:gridAfter w:val="1"/>
          <w:wAfter w:w="413" w:type="dxa"/>
          <w:trHeight w:val="837" w:hRule="atLeast"/>
          <w:jc w:val="center"/>
        </w:trPr>
        <w:tc>
          <w:tcPr>
            <w:tcW w:w="84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专项立项</w:t>
            </w:r>
          </w:p>
          <w:p>
            <w:pPr>
              <w:keepNext w:val="0"/>
              <w:keepLines w:val="0"/>
              <w:pageBreakBefore w:val="0"/>
              <w:widowControl/>
              <w:kinsoku/>
              <w:wordWrap/>
              <w:overflowPunct/>
              <w:topLinePunct w:val="0"/>
              <w:autoSpaceDE/>
              <w:autoSpaceDN/>
              <w:bidi w:val="0"/>
              <w:adjustRightInd w:val="0"/>
              <w:snapToGrid w:val="0"/>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依据</w:t>
            </w:r>
          </w:p>
        </w:tc>
        <w:tc>
          <w:tcPr>
            <w:tcW w:w="7727" w:type="dxa"/>
            <w:gridSpan w:val="19"/>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根据以前未结算的欠款费用汇总向区政府打报告及区政府领导的批示</w:t>
            </w:r>
          </w:p>
        </w:tc>
      </w:tr>
      <w:tr>
        <w:tblPrEx>
          <w:tblCellMar>
            <w:top w:w="0" w:type="dxa"/>
            <w:left w:w="108" w:type="dxa"/>
            <w:bottom w:w="0" w:type="dxa"/>
            <w:right w:w="108" w:type="dxa"/>
          </w:tblCellMar>
        </w:tblPrEx>
        <w:trPr>
          <w:gridAfter w:val="1"/>
          <w:wAfter w:w="413" w:type="dxa"/>
          <w:trHeight w:val="960" w:hRule="atLeast"/>
          <w:jc w:val="center"/>
        </w:trPr>
        <w:tc>
          <w:tcPr>
            <w:tcW w:w="846" w:type="dxa"/>
            <w:vMerge w:val="restart"/>
            <w:tcBorders>
              <w:top w:val="nil"/>
              <w:left w:val="single" w:color="auto" w:sz="4" w:space="0"/>
              <w:bottom w:val="single" w:color="auto" w:sz="4" w:space="0"/>
              <w:right w:val="single" w:color="auto" w:sz="4" w:space="0"/>
            </w:tcBorders>
            <w:noWrap/>
            <w:textDirection w:val="tbRlV"/>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黑体" w:hAnsi="黑体" w:eastAsia="黑体" w:cs="宋体"/>
                <w:kern w:val="0"/>
                <w:sz w:val="28"/>
                <w:szCs w:val="28"/>
              </w:rPr>
            </w:pPr>
            <w:r>
              <w:rPr>
                <w:rFonts w:hint="eastAsia" w:ascii="黑体" w:hAnsi="黑体" w:eastAsia="黑体" w:cs="宋体"/>
                <w:kern w:val="0"/>
                <w:sz w:val="28"/>
                <w:szCs w:val="28"/>
              </w:rPr>
              <w:t>专项资金情况</w:t>
            </w:r>
          </w:p>
        </w:tc>
        <w:tc>
          <w:tcPr>
            <w:tcW w:w="1450" w:type="dxa"/>
            <w:gridSpan w:val="2"/>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本年度预计投入（万元）</w:t>
            </w:r>
          </w:p>
        </w:tc>
        <w:tc>
          <w:tcPr>
            <w:tcW w:w="5860" w:type="dxa"/>
            <w:gridSpan w:val="14"/>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财政资金（万元） </w:t>
            </w:r>
          </w:p>
        </w:tc>
        <w:tc>
          <w:tcPr>
            <w:tcW w:w="1867" w:type="dxa"/>
            <w:gridSpan w:val="5"/>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其他</w:t>
            </w:r>
          </w:p>
        </w:tc>
      </w:tr>
      <w:tr>
        <w:tblPrEx>
          <w:tblCellMar>
            <w:top w:w="0" w:type="dxa"/>
            <w:left w:w="108" w:type="dxa"/>
            <w:bottom w:w="0" w:type="dxa"/>
            <w:right w:w="108" w:type="dxa"/>
          </w:tblCellMar>
        </w:tblPrEx>
        <w:trPr>
          <w:gridAfter w:val="1"/>
          <w:wAfter w:w="413" w:type="dxa"/>
          <w:trHeight w:val="600" w:hRule="atLeast"/>
          <w:jc w:val="center"/>
        </w:trPr>
        <w:tc>
          <w:tcPr>
            <w:tcW w:w="846" w:type="dxa"/>
            <w:vMerge w:val="continue"/>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黑体" w:hAnsi="黑体" w:eastAsia="黑体" w:cs="宋体"/>
                <w:kern w:val="0"/>
                <w:sz w:val="28"/>
                <w:szCs w:val="28"/>
              </w:rPr>
            </w:pPr>
          </w:p>
        </w:tc>
        <w:tc>
          <w:tcPr>
            <w:tcW w:w="1450" w:type="dxa"/>
            <w:gridSpan w:val="2"/>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_GB2312" w:hAnsi="宋体" w:eastAsia="仿宋_GB2312" w:cs="宋体"/>
                <w:kern w:val="0"/>
                <w:sz w:val="28"/>
                <w:szCs w:val="28"/>
              </w:rPr>
            </w:pPr>
          </w:p>
        </w:tc>
        <w:tc>
          <w:tcPr>
            <w:tcW w:w="1647"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中央</w:t>
            </w:r>
          </w:p>
        </w:tc>
        <w:tc>
          <w:tcPr>
            <w:tcW w:w="1308" w:type="dxa"/>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省级</w:t>
            </w:r>
          </w:p>
        </w:tc>
        <w:tc>
          <w:tcPr>
            <w:tcW w:w="1525" w:type="dxa"/>
            <w:gridSpan w:val="5"/>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市级资金</w:t>
            </w:r>
          </w:p>
        </w:tc>
        <w:tc>
          <w:tcPr>
            <w:tcW w:w="138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lang w:eastAsia="zh-CN"/>
              </w:rPr>
              <w:t>区</w:t>
            </w:r>
            <w:r>
              <w:rPr>
                <w:rFonts w:hint="eastAsia" w:ascii="仿宋" w:hAnsi="仿宋" w:eastAsia="仿宋" w:cs="仿宋"/>
                <w:kern w:val="0"/>
                <w:sz w:val="28"/>
                <w:szCs w:val="28"/>
              </w:rPr>
              <w:t>本级</w:t>
            </w:r>
          </w:p>
        </w:tc>
        <w:tc>
          <w:tcPr>
            <w:tcW w:w="1867" w:type="dxa"/>
            <w:gridSpan w:val="5"/>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b/>
                <w:bCs/>
                <w:kern w:val="0"/>
                <w:sz w:val="28"/>
                <w:szCs w:val="28"/>
              </w:rPr>
            </w:pPr>
          </w:p>
        </w:tc>
      </w:tr>
      <w:tr>
        <w:tblPrEx>
          <w:tblCellMar>
            <w:top w:w="0" w:type="dxa"/>
            <w:left w:w="108" w:type="dxa"/>
            <w:bottom w:w="0" w:type="dxa"/>
            <w:right w:w="108" w:type="dxa"/>
          </w:tblCellMar>
        </w:tblPrEx>
        <w:trPr>
          <w:gridAfter w:val="1"/>
          <w:wAfter w:w="413" w:type="dxa"/>
          <w:trHeight w:val="720" w:hRule="atLeast"/>
          <w:jc w:val="center"/>
        </w:trPr>
        <w:tc>
          <w:tcPr>
            <w:tcW w:w="846" w:type="dxa"/>
            <w:vMerge w:val="continue"/>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黑体" w:hAnsi="黑体" w:eastAsia="黑体" w:cs="宋体"/>
                <w:kern w:val="0"/>
                <w:sz w:val="28"/>
                <w:szCs w:val="28"/>
              </w:rPr>
            </w:pPr>
          </w:p>
        </w:tc>
        <w:tc>
          <w:tcPr>
            <w:tcW w:w="14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600</w:t>
            </w:r>
          </w:p>
        </w:tc>
        <w:tc>
          <w:tcPr>
            <w:tcW w:w="1647"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1308" w:type="dxa"/>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1525" w:type="dxa"/>
            <w:gridSpan w:val="5"/>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　</w:t>
            </w:r>
          </w:p>
        </w:tc>
        <w:tc>
          <w:tcPr>
            <w:tcW w:w="138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600</w:t>
            </w:r>
          </w:p>
        </w:tc>
        <w:tc>
          <w:tcPr>
            <w:tcW w:w="1867" w:type="dxa"/>
            <w:gridSpan w:val="5"/>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　</w:t>
            </w:r>
          </w:p>
        </w:tc>
      </w:tr>
      <w:tr>
        <w:tblPrEx>
          <w:tblCellMar>
            <w:top w:w="0" w:type="dxa"/>
            <w:left w:w="108" w:type="dxa"/>
            <w:bottom w:w="0" w:type="dxa"/>
            <w:right w:w="108" w:type="dxa"/>
          </w:tblCellMar>
        </w:tblPrEx>
        <w:trPr>
          <w:gridAfter w:val="1"/>
          <w:wAfter w:w="413" w:type="dxa"/>
          <w:trHeight w:val="1786" w:hRule="atLeast"/>
          <w:jc w:val="center"/>
        </w:trPr>
        <w:tc>
          <w:tcPr>
            <w:tcW w:w="2296" w:type="dxa"/>
            <w:gridSpan w:val="3"/>
            <w:tcBorders>
              <w:top w:val="nil"/>
              <w:left w:val="single" w:color="auto" w:sz="4" w:space="0"/>
              <w:bottom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黑体" w:hAnsi="黑体" w:eastAsia="黑体" w:cs="宋体"/>
                <w:kern w:val="0"/>
                <w:sz w:val="28"/>
                <w:szCs w:val="28"/>
              </w:rPr>
            </w:pPr>
            <w:r>
              <w:rPr>
                <w:rFonts w:hint="eastAsia" w:ascii="黑体" w:hAnsi="黑体" w:eastAsia="黑体" w:cs="宋体"/>
                <w:kern w:val="0"/>
                <w:sz w:val="28"/>
                <w:szCs w:val="28"/>
              </w:rPr>
              <w:t>单位已有的保证专项实施的制度、措施</w:t>
            </w:r>
          </w:p>
        </w:tc>
        <w:tc>
          <w:tcPr>
            <w:tcW w:w="7727" w:type="dxa"/>
            <w:gridSpan w:val="19"/>
            <w:tcBorders>
              <w:top w:val="nil"/>
              <w:left w:val="nil"/>
              <w:bottom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专人专管、认真审核、根据合同和实际工作量科学据实结算</w:t>
            </w:r>
          </w:p>
        </w:tc>
      </w:tr>
      <w:tr>
        <w:tblPrEx>
          <w:tblCellMar>
            <w:top w:w="0" w:type="dxa"/>
            <w:left w:w="108" w:type="dxa"/>
            <w:bottom w:w="0" w:type="dxa"/>
            <w:right w:w="108" w:type="dxa"/>
          </w:tblCellMar>
        </w:tblPrEx>
        <w:trPr>
          <w:gridAfter w:val="1"/>
          <w:wAfter w:w="413" w:type="dxa"/>
          <w:trHeight w:val="1254" w:hRule="atLeast"/>
          <w:jc w:val="center"/>
        </w:trPr>
        <w:tc>
          <w:tcPr>
            <w:tcW w:w="22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中长期绩效目标</w:t>
            </w:r>
          </w:p>
        </w:tc>
        <w:tc>
          <w:tcPr>
            <w:tcW w:w="7727" w:type="dxa"/>
            <w:gridSpan w:val="19"/>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200" w:lineRule="exact"/>
              <w:ind w:right="-110"/>
              <w:textAlignment w:val="auto"/>
              <w:rPr>
                <w:rFonts w:hint="eastAsia" w:ascii="仿宋" w:hAnsi="仿宋" w:eastAsia="仿宋" w:cs="仿宋"/>
                <w:kern w:val="0"/>
                <w:sz w:val="28"/>
                <w:szCs w:val="28"/>
              </w:rPr>
            </w:pP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结算新冠疫情防控经费(2022年隔离酒店费用和核酸检测费用等）</w:t>
            </w:r>
          </w:p>
        </w:tc>
      </w:tr>
      <w:tr>
        <w:tblPrEx>
          <w:tblCellMar>
            <w:top w:w="0" w:type="dxa"/>
            <w:left w:w="108" w:type="dxa"/>
            <w:bottom w:w="0" w:type="dxa"/>
            <w:right w:w="108" w:type="dxa"/>
          </w:tblCellMar>
        </w:tblPrEx>
        <w:trPr>
          <w:gridAfter w:val="1"/>
          <w:wAfter w:w="413" w:type="dxa"/>
          <w:trHeight w:val="1266" w:hRule="atLeast"/>
          <w:jc w:val="center"/>
        </w:trPr>
        <w:tc>
          <w:tcPr>
            <w:tcW w:w="22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本年度绩效目标</w:t>
            </w:r>
          </w:p>
        </w:tc>
        <w:tc>
          <w:tcPr>
            <w:tcW w:w="7727" w:type="dxa"/>
            <w:gridSpan w:val="19"/>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结算新冠疫情防控经费（2022年隔离酒店费用和核酸检测费用等）</w:t>
            </w:r>
          </w:p>
        </w:tc>
      </w:tr>
      <w:tr>
        <w:tblPrEx>
          <w:tblCellMar>
            <w:top w:w="0" w:type="dxa"/>
            <w:left w:w="108" w:type="dxa"/>
            <w:bottom w:w="0" w:type="dxa"/>
            <w:right w:w="108" w:type="dxa"/>
          </w:tblCellMar>
        </w:tblPrEx>
        <w:trPr>
          <w:gridAfter w:val="1"/>
          <w:wAfter w:w="413" w:type="dxa"/>
          <w:trHeight w:val="900" w:hRule="atLeast"/>
          <w:jc w:val="center"/>
        </w:trPr>
        <w:tc>
          <w:tcPr>
            <w:tcW w:w="848" w:type="dxa"/>
            <w:gridSpan w:val="2"/>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专项年度绩效指标</w:t>
            </w:r>
          </w:p>
        </w:tc>
        <w:tc>
          <w:tcPr>
            <w:tcW w:w="144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一级指标</w:t>
            </w:r>
          </w:p>
        </w:tc>
        <w:tc>
          <w:tcPr>
            <w:tcW w:w="1647"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二级指标</w:t>
            </w: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三级指标内容</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指标值及单位</w:t>
            </w:r>
          </w:p>
        </w:tc>
      </w:tr>
      <w:tr>
        <w:tblPrEx>
          <w:tblCellMar>
            <w:top w:w="0" w:type="dxa"/>
            <w:left w:w="108" w:type="dxa"/>
            <w:bottom w:w="0" w:type="dxa"/>
            <w:right w:w="108" w:type="dxa"/>
          </w:tblCellMar>
        </w:tblPrEx>
        <w:trPr>
          <w:gridAfter w:val="1"/>
          <w:wAfter w:w="413"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bookmarkStart w:id="0" w:name="_GoBack" w:colFirst="0" w:colLast="0"/>
          </w:p>
        </w:tc>
        <w:tc>
          <w:tcPr>
            <w:tcW w:w="1448"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rPr>
              <w:t>产出</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指标</w:t>
            </w:r>
          </w:p>
        </w:tc>
        <w:tc>
          <w:tcPr>
            <w:tcW w:w="1647" w:type="dxa"/>
            <w:gridSpan w:val="3"/>
            <w:vMerge w:val="restart"/>
            <w:tcBorders>
              <w:top w:val="single" w:color="auto" w:sz="4" w:space="0"/>
              <w:left w:val="nil"/>
              <w:right w:val="single" w:color="auto" w:sz="4" w:space="0"/>
            </w:tcBorders>
            <w:noWrap/>
            <w:vAlign w:val="center"/>
          </w:tcPr>
          <w:p>
            <w:pPr>
              <w:jc w:val="center"/>
              <w:rPr>
                <w:rFonts w:hint="eastAsia"/>
              </w:rPr>
            </w:pPr>
            <w:r>
              <w:rPr>
                <w:rFonts w:hint="eastAsia"/>
              </w:rPr>
              <w:t>数量指标</w:t>
            </w: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kern w:val="0"/>
                <w:sz w:val="24"/>
                <w:szCs w:val="24"/>
                <w:lang w:val="en-US" w:eastAsia="zh-CN"/>
              </w:rPr>
              <w:t>结算衡山一德医院、附三医院、长沙山水检测以前未结费用</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3</w:t>
            </w:r>
            <w:r>
              <w:rPr>
                <w:rFonts w:hint="eastAsia" w:ascii="宋体" w:hAnsi="宋体" w:eastAsia="宋体" w:cs="宋体"/>
                <w:i w:val="0"/>
                <w:iCs w:val="0"/>
                <w:color w:val="000000"/>
                <w:kern w:val="2"/>
                <w:sz w:val="24"/>
                <w:szCs w:val="24"/>
                <w:u w:val="none"/>
                <w:lang w:val="en-US" w:eastAsia="zh-CN" w:bidi="ar-SA"/>
              </w:rPr>
              <w:t>个</w:t>
            </w:r>
          </w:p>
        </w:tc>
      </w:tr>
      <w:bookmarkEnd w:id="0"/>
      <w:tr>
        <w:tblPrEx>
          <w:tblCellMar>
            <w:top w:w="0" w:type="dxa"/>
            <w:left w:w="108" w:type="dxa"/>
            <w:bottom w:w="0" w:type="dxa"/>
            <w:right w:w="108" w:type="dxa"/>
          </w:tblCellMar>
        </w:tblPrEx>
        <w:trPr>
          <w:gridAfter w:val="1"/>
          <w:wAfter w:w="413"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p>
        </w:tc>
        <w:tc>
          <w:tcPr>
            <w:tcW w:w="1647" w:type="dxa"/>
            <w:gridSpan w:val="3"/>
            <w:vMerge w:val="continue"/>
            <w:tcBorders>
              <w:left w:val="nil"/>
              <w:right w:val="single" w:color="auto" w:sz="4" w:space="0"/>
            </w:tcBorders>
            <w:noWrap/>
            <w:vAlign w:val="center"/>
          </w:tcPr>
          <w:p>
            <w:pPr>
              <w:jc w:val="center"/>
              <w:rPr>
                <w:rFonts w:hint="eastAsia"/>
              </w:rPr>
            </w:pP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结算隔离酒店（财神、宜尚、万怡清卿、缦吉等）以前未结费用</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4个</w:t>
            </w:r>
          </w:p>
        </w:tc>
      </w:tr>
      <w:tr>
        <w:tblPrEx>
          <w:tblCellMar>
            <w:top w:w="0" w:type="dxa"/>
            <w:left w:w="108" w:type="dxa"/>
            <w:bottom w:w="0" w:type="dxa"/>
            <w:right w:w="108" w:type="dxa"/>
          </w:tblCellMar>
        </w:tblPrEx>
        <w:trPr>
          <w:gridAfter w:val="1"/>
          <w:wAfter w:w="413"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p>
        </w:tc>
        <w:tc>
          <w:tcPr>
            <w:tcW w:w="1647" w:type="dxa"/>
            <w:gridSpan w:val="3"/>
            <w:vMerge w:val="continue"/>
            <w:tcBorders>
              <w:left w:val="nil"/>
              <w:right w:val="single" w:color="auto" w:sz="4" w:space="0"/>
            </w:tcBorders>
            <w:noWrap/>
            <w:vAlign w:val="center"/>
          </w:tcPr>
          <w:p>
            <w:pPr>
              <w:jc w:val="center"/>
              <w:rPr>
                <w:rFonts w:hint="eastAsia"/>
              </w:rPr>
            </w:pP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结算隔离酒店疫情防控消毒经费以前未结费用</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1个</w:t>
            </w:r>
          </w:p>
        </w:tc>
      </w:tr>
      <w:tr>
        <w:tblPrEx>
          <w:tblCellMar>
            <w:top w:w="0" w:type="dxa"/>
            <w:left w:w="108" w:type="dxa"/>
            <w:bottom w:w="0" w:type="dxa"/>
            <w:right w:w="108" w:type="dxa"/>
          </w:tblCellMar>
        </w:tblPrEx>
        <w:trPr>
          <w:gridAfter w:val="1"/>
          <w:wAfter w:w="413"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p>
        </w:tc>
        <w:tc>
          <w:tcPr>
            <w:tcW w:w="1647" w:type="dxa"/>
            <w:gridSpan w:val="3"/>
            <w:vMerge w:val="continue"/>
            <w:tcBorders>
              <w:left w:val="nil"/>
              <w:right w:val="single" w:color="auto" w:sz="4" w:space="0"/>
            </w:tcBorders>
            <w:noWrap/>
            <w:vAlign w:val="center"/>
          </w:tcPr>
          <w:p>
            <w:pPr>
              <w:jc w:val="center"/>
              <w:rPr>
                <w:rFonts w:hint="eastAsia"/>
              </w:rPr>
            </w:pP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结算疫情防控健康包以前未结费用</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1个</w:t>
            </w:r>
          </w:p>
        </w:tc>
      </w:tr>
      <w:tr>
        <w:tblPrEx>
          <w:tblCellMar>
            <w:top w:w="0" w:type="dxa"/>
            <w:left w:w="108" w:type="dxa"/>
            <w:bottom w:w="0" w:type="dxa"/>
            <w:right w:w="108" w:type="dxa"/>
          </w:tblCellMar>
        </w:tblPrEx>
        <w:trPr>
          <w:gridAfter w:val="1"/>
          <w:wAfter w:w="413"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p>
        </w:tc>
        <w:tc>
          <w:tcPr>
            <w:tcW w:w="1647" w:type="dxa"/>
            <w:gridSpan w:val="3"/>
            <w:vMerge w:val="continue"/>
            <w:tcBorders>
              <w:left w:val="nil"/>
              <w:right w:val="single" w:color="auto" w:sz="4" w:space="0"/>
            </w:tcBorders>
            <w:noWrap/>
            <w:vAlign w:val="center"/>
          </w:tcPr>
          <w:p>
            <w:pPr>
              <w:jc w:val="center"/>
              <w:rPr>
                <w:rFonts w:hint="eastAsia"/>
              </w:rPr>
            </w:pP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结算隔离场所医疗废物和生活垃圾收运费以前未结费用</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1个</w:t>
            </w:r>
          </w:p>
        </w:tc>
      </w:tr>
      <w:tr>
        <w:tblPrEx>
          <w:tblCellMar>
            <w:top w:w="0" w:type="dxa"/>
            <w:left w:w="108" w:type="dxa"/>
            <w:bottom w:w="0" w:type="dxa"/>
            <w:right w:w="108" w:type="dxa"/>
          </w:tblCellMar>
        </w:tblPrEx>
        <w:trPr>
          <w:gridAfter w:val="1"/>
          <w:wAfter w:w="413" w:type="dxa"/>
          <w:trHeight w:val="100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kern w:val="0"/>
                <w:sz w:val="28"/>
                <w:szCs w:val="28"/>
              </w:rPr>
            </w:pPr>
          </w:p>
        </w:tc>
        <w:tc>
          <w:tcPr>
            <w:tcW w:w="1647" w:type="dxa"/>
            <w:gridSpan w:val="3"/>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质量指标</w:t>
            </w: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按照“新冠疫情防控标准”，</w:t>
            </w:r>
            <w:r>
              <w:rPr>
                <w:rFonts w:hint="eastAsia" w:ascii="宋体" w:hAnsi="宋体" w:cs="宋体"/>
                <w:i w:val="0"/>
                <w:iCs w:val="0"/>
                <w:color w:val="000000"/>
                <w:kern w:val="2"/>
                <w:sz w:val="24"/>
                <w:szCs w:val="24"/>
                <w:u w:val="none"/>
                <w:lang w:val="en-US" w:eastAsia="zh-CN" w:bidi="ar-SA"/>
              </w:rPr>
              <w:t>做好检测、隔离、防治工作，如期做好结算</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100%</w:t>
            </w:r>
          </w:p>
        </w:tc>
      </w:tr>
      <w:tr>
        <w:tblPrEx>
          <w:tblCellMar>
            <w:top w:w="0" w:type="dxa"/>
            <w:left w:w="108" w:type="dxa"/>
            <w:bottom w:w="0" w:type="dxa"/>
            <w:right w:w="108" w:type="dxa"/>
          </w:tblCellMar>
        </w:tblPrEx>
        <w:trPr>
          <w:gridAfter w:val="1"/>
          <w:wAfter w:w="413" w:type="dxa"/>
          <w:trHeight w:val="89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kern w:val="0"/>
                <w:sz w:val="28"/>
                <w:szCs w:val="28"/>
              </w:rPr>
            </w:pPr>
          </w:p>
        </w:tc>
        <w:tc>
          <w:tcPr>
            <w:tcW w:w="1647" w:type="dxa"/>
            <w:gridSpan w:val="3"/>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时效指标</w:t>
            </w: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bCs/>
                <w:color w:val="2B2B2B"/>
                <w:kern w:val="36"/>
                <w:sz w:val="24"/>
                <w:szCs w:val="24"/>
              </w:rPr>
            </w:pPr>
            <w:r>
              <w:rPr>
                <w:rFonts w:hint="eastAsia" w:ascii="仿宋" w:hAnsi="仿宋" w:eastAsia="仿宋" w:cs="仿宋"/>
                <w:kern w:val="0"/>
                <w:sz w:val="28"/>
                <w:szCs w:val="28"/>
                <w:lang w:val="en-US" w:eastAsia="zh-CN"/>
              </w:rPr>
              <w:t>结算时限</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2023年底前完成</w:t>
            </w:r>
          </w:p>
        </w:tc>
      </w:tr>
      <w:tr>
        <w:tblPrEx>
          <w:tblCellMar>
            <w:top w:w="0" w:type="dxa"/>
            <w:left w:w="108" w:type="dxa"/>
            <w:bottom w:w="0" w:type="dxa"/>
            <w:right w:w="108" w:type="dxa"/>
          </w:tblCellMar>
        </w:tblPrEx>
        <w:trPr>
          <w:gridAfter w:val="1"/>
          <w:wAfter w:w="413"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kern w:val="0"/>
                <w:sz w:val="28"/>
                <w:szCs w:val="28"/>
              </w:rPr>
            </w:pPr>
          </w:p>
        </w:tc>
        <w:tc>
          <w:tcPr>
            <w:tcW w:w="1647" w:type="dxa"/>
            <w:gridSpan w:val="3"/>
            <w:vMerge w:val="restart"/>
            <w:tcBorders>
              <w:top w:val="single" w:color="auto" w:sz="4" w:space="0"/>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成本指标</w:t>
            </w: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kern w:val="0"/>
                <w:sz w:val="24"/>
                <w:szCs w:val="24"/>
                <w:lang w:val="en-US" w:eastAsia="zh-CN"/>
              </w:rPr>
              <w:t>衡山一德医院、附三医院、长沙山水检测费</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r>
              <w:rPr>
                <w:rFonts w:hint="eastAsia" w:ascii="宋体" w:hAnsi="宋体" w:cs="宋体"/>
                <w:i w:val="0"/>
                <w:iCs w:val="0"/>
                <w:color w:val="000000"/>
                <w:kern w:val="2"/>
                <w:sz w:val="24"/>
                <w:szCs w:val="24"/>
                <w:u w:val="none"/>
                <w:lang w:val="en-US" w:eastAsia="zh-CN" w:bidi="ar-SA"/>
              </w:rPr>
              <w:t>403.8万</w:t>
            </w:r>
            <w:r>
              <w:rPr>
                <w:rFonts w:hint="eastAsia" w:ascii="宋体" w:hAnsi="宋体" w:eastAsia="宋体" w:cs="宋体"/>
                <w:i w:val="0"/>
                <w:iCs w:val="0"/>
                <w:color w:val="000000"/>
                <w:kern w:val="2"/>
                <w:sz w:val="24"/>
                <w:szCs w:val="24"/>
                <w:u w:val="none"/>
                <w:lang w:val="en-US" w:eastAsia="zh-CN" w:bidi="ar-SA"/>
              </w:rPr>
              <w:t>元</w:t>
            </w:r>
          </w:p>
        </w:tc>
      </w:tr>
      <w:tr>
        <w:tblPrEx>
          <w:tblCellMar>
            <w:top w:w="0" w:type="dxa"/>
            <w:left w:w="108" w:type="dxa"/>
            <w:bottom w:w="0" w:type="dxa"/>
            <w:right w:w="108" w:type="dxa"/>
          </w:tblCellMar>
        </w:tblPrEx>
        <w:trPr>
          <w:gridAfter w:val="1"/>
          <w:wAfter w:w="413"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kern w:val="0"/>
                <w:sz w:val="28"/>
                <w:szCs w:val="28"/>
              </w:rPr>
            </w:pPr>
          </w:p>
        </w:tc>
        <w:tc>
          <w:tcPr>
            <w:tcW w:w="1647" w:type="dxa"/>
            <w:gridSpan w:val="3"/>
            <w:vMerge w:val="continue"/>
            <w:tcBorders>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kern w:val="0"/>
                <w:sz w:val="24"/>
                <w:szCs w:val="24"/>
              </w:rPr>
            </w:pP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隔离酒店（财神、宜尚、万怡清卿、缦吉等）费用</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r>
              <w:rPr>
                <w:rFonts w:hint="eastAsia" w:ascii="宋体" w:hAnsi="宋体" w:cs="宋体"/>
                <w:i w:val="0"/>
                <w:iCs w:val="0"/>
                <w:color w:val="000000"/>
                <w:kern w:val="2"/>
                <w:sz w:val="24"/>
                <w:szCs w:val="24"/>
                <w:u w:val="none"/>
                <w:lang w:val="en-US" w:eastAsia="zh-CN" w:bidi="ar-SA"/>
              </w:rPr>
              <w:t>143.28</w:t>
            </w:r>
            <w:r>
              <w:rPr>
                <w:rFonts w:hint="eastAsia" w:ascii="宋体" w:hAnsi="宋体" w:eastAsia="宋体" w:cs="宋体"/>
                <w:i w:val="0"/>
                <w:iCs w:val="0"/>
                <w:color w:val="000000"/>
                <w:kern w:val="2"/>
                <w:sz w:val="24"/>
                <w:szCs w:val="24"/>
                <w:u w:val="none"/>
                <w:lang w:val="en-US" w:eastAsia="zh-CN" w:bidi="ar-SA"/>
              </w:rPr>
              <w:t>万元</w:t>
            </w:r>
          </w:p>
        </w:tc>
      </w:tr>
      <w:tr>
        <w:tblPrEx>
          <w:tblCellMar>
            <w:top w:w="0" w:type="dxa"/>
            <w:left w:w="108" w:type="dxa"/>
            <w:bottom w:w="0" w:type="dxa"/>
            <w:right w:w="108" w:type="dxa"/>
          </w:tblCellMar>
        </w:tblPrEx>
        <w:trPr>
          <w:gridAfter w:val="1"/>
          <w:wAfter w:w="413"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kern w:val="0"/>
                <w:sz w:val="28"/>
                <w:szCs w:val="28"/>
              </w:rPr>
            </w:pPr>
          </w:p>
        </w:tc>
        <w:tc>
          <w:tcPr>
            <w:tcW w:w="1647" w:type="dxa"/>
            <w:gridSpan w:val="3"/>
            <w:vMerge w:val="continue"/>
            <w:tcBorders>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kern w:val="0"/>
                <w:sz w:val="24"/>
                <w:szCs w:val="24"/>
              </w:rPr>
            </w:pP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隔离酒店疫情防控消毒经费</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29.66万元</w:t>
            </w:r>
          </w:p>
        </w:tc>
      </w:tr>
      <w:tr>
        <w:tblPrEx>
          <w:tblCellMar>
            <w:top w:w="0" w:type="dxa"/>
            <w:left w:w="108" w:type="dxa"/>
            <w:bottom w:w="0" w:type="dxa"/>
            <w:right w:w="108" w:type="dxa"/>
          </w:tblCellMar>
        </w:tblPrEx>
        <w:trPr>
          <w:gridAfter w:val="1"/>
          <w:wAfter w:w="413"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kern w:val="0"/>
                <w:sz w:val="28"/>
                <w:szCs w:val="28"/>
              </w:rPr>
            </w:pPr>
          </w:p>
        </w:tc>
        <w:tc>
          <w:tcPr>
            <w:tcW w:w="1647" w:type="dxa"/>
            <w:gridSpan w:val="3"/>
            <w:vMerge w:val="continue"/>
            <w:tcBorders>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kern w:val="0"/>
                <w:sz w:val="24"/>
                <w:szCs w:val="24"/>
              </w:rPr>
            </w:pP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疫情防控健康包费用</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19.56万元</w:t>
            </w:r>
          </w:p>
        </w:tc>
      </w:tr>
      <w:tr>
        <w:tblPrEx>
          <w:tblCellMar>
            <w:top w:w="0" w:type="dxa"/>
            <w:left w:w="108" w:type="dxa"/>
            <w:bottom w:w="0" w:type="dxa"/>
            <w:right w:w="108" w:type="dxa"/>
          </w:tblCellMar>
        </w:tblPrEx>
        <w:trPr>
          <w:gridAfter w:val="1"/>
          <w:wAfter w:w="413"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kern w:val="0"/>
                <w:sz w:val="28"/>
                <w:szCs w:val="28"/>
              </w:rPr>
            </w:pPr>
          </w:p>
        </w:tc>
        <w:tc>
          <w:tcPr>
            <w:tcW w:w="1647" w:type="dxa"/>
            <w:gridSpan w:val="3"/>
            <w:vMerge w:val="continue"/>
            <w:tcBorders>
              <w:left w:val="nil"/>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kern w:val="0"/>
                <w:sz w:val="24"/>
                <w:szCs w:val="24"/>
              </w:rPr>
            </w:pP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隔离场所医疗废物和生活垃圾收运费</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3.7万元</w:t>
            </w:r>
          </w:p>
        </w:tc>
      </w:tr>
      <w:tr>
        <w:tblPrEx>
          <w:tblCellMar>
            <w:top w:w="0" w:type="dxa"/>
            <w:left w:w="108" w:type="dxa"/>
            <w:bottom w:w="0" w:type="dxa"/>
            <w:right w:w="108" w:type="dxa"/>
          </w:tblCellMar>
        </w:tblPrEx>
        <w:trPr>
          <w:gridAfter w:val="1"/>
          <w:wAfter w:w="413"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r>
              <w:rPr>
                <w:rFonts w:hint="eastAsia" w:ascii="仿宋" w:hAnsi="仿宋" w:eastAsia="仿宋" w:cs="仿宋"/>
                <w:kern w:val="0"/>
                <w:sz w:val="28"/>
                <w:szCs w:val="28"/>
              </w:rPr>
              <w:t>效益指标</w:t>
            </w:r>
          </w:p>
        </w:tc>
        <w:tc>
          <w:tcPr>
            <w:tcW w:w="1647"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经济效益</w:t>
            </w: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不适用</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413" w:type="dxa"/>
          <w:trHeight w:val="73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 w:val="28"/>
                <w:szCs w:val="28"/>
              </w:rPr>
            </w:pPr>
          </w:p>
        </w:tc>
        <w:tc>
          <w:tcPr>
            <w:tcW w:w="1647"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社会效益</w:t>
            </w: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对2022年对全区人员进行核酸检测、相关人员</w:t>
            </w:r>
            <w:r>
              <w:rPr>
                <w:rFonts w:hint="eastAsia" w:ascii="宋体" w:hAnsi="宋体" w:eastAsia="宋体" w:cs="宋体"/>
                <w:i w:val="0"/>
                <w:iCs w:val="0"/>
                <w:color w:val="000000"/>
                <w:kern w:val="2"/>
                <w:sz w:val="24"/>
                <w:szCs w:val="24"/>
                <w:u w:val="none"/>
                <w:lang w:val="en-US" w:eastAsia="zh-CN" w:bidi="ar-SA"/>
              </w:rPr>
              <w:t>隔离</w:t>
            </w:r>
            <w:r>
              <w:rPr>
                <w:rFonts w:hint="eastAsia" w:ascii="宋体" w:hAnsi="宋体" w:cs="宋体"/>
                <w:i w:val="0"/>
                <w:iCs w:val="0"/>
                <w:color w:val="000000"/>
                <w:kern w:val="2"/>
                <w:sz w:val="24"/>
                <w:szCs w:val="24"/>
                <w:u w:val="none"/>
                <w:lang w:val="en-US" w:eastAsia="zh-CN" w:bidi="ar-SA"/>
              </w:rPr>
              <w:t>、检查等费用结算</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了结以前欠付费用，维护政府信誉</w:t>
            </w:r>
          </w:p>
        </w:tc>
      </w:tr>
      <w:tr>
        <w:tblPrEx>
          <w:tblCellMar>
            <w:top w:w="0" w:type="dxa"/>
            <w:left w:w="108" w:type="dxa"/>
            <w:bottom w:w="0" w:type="dxa"/>
            <w:right w:w="108" w:type="dxa"/>
          </w:tblCellMar>
        </w:tblPrEx>
        <w:trPr>
          <w:gridAfter w:val="1"/>
          <w:wAfter w:w="413" w:type="dxa"/>
          <w:trHeight w:val="919" w:hRule="atLeast"/>
          <w:jc w:val="center"/>
        </w:trPr>
        <w:tc>
          <w:tcPr>
            <w:tcW w:w="84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kern w:val="0"/>
                <w:sz w:val="28"/>
                <w:szCs w:val="28"/>
              </w:rPr>
            </w:pPr>
          </w:p>
        </w:tc>
        <w:tc>
          <w:tcPr>
            <w:tcW w:w="1448"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仿宋" w:hAnsi="仿宋" w:eastAsia="仿宋" w:cs="仿宋"/>
                <w:kern w:val="0"/>
                <w:sz w:val="28"/>
                <w:szCs w:val="28"/>
              </w:rPr>
            </w:pPr>
          </w:p>
        </w:tc>
        <w:tc>
          <w:tcPr>
            <w:tcW w:w="1647" w:type="dxa"/>
            <w:gridSpan w:val="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满意度指标</w:t>
            </w:r>
          </w:p>
        </w:tc>
        <w:tc>
          <w:tcPr>
            <w:tcW w:w="4673" w:type="dxa"/>
            <w:gridSpan w:val="13"/>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群众满意度</w:t>
            </w:r>
          </w:p>
        </w:tc>
        <w:tc>
          <w:tcPr>
            <w:tcW w:w="1407" w:type="dxa"/>
            <w:gridSpan w:val="3"/>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大于或等于95</w:t>
            </w:r>
            <w:r>
              <w:rPr>
                <w:rFonts w:hint="eastAsia" w:ascii="宋体" w:hAnsi="宋体" w:eastAsia="宋体" w:cs="宋体"/>
                <w:kern w:val="0"/>
                <w:sz w:val="24"/>
                <w:szCs w:val="24"/>
                <w:lang w:val="en-US" w:eastAsia="zh-CN"/>
              </w:rPr>
              <w:t>%</w:t>
            </w:r>
          </w:p>
        </w:tc>
      </w:tr>
      <w:tr>
        <w:tblPrEx>
          <w:tblCellMar>
            <w:top w:w="0" w:type="dxa"/>
            <w:left w:w="108" w:type="dxa"/>
            <w:bottom w:w="0" w:type="dxa"/>
            <w:right w:w="108" w:type="dxa"/>
          </w:tblCellMar>
        </w:tblPrEx>
        <w:trPr>
          <w:gridAfter w:val="1"/>
          <w:wAfter w:w="413" w:type="dxa"/>
          <w:trHeight w:val="1713" w:hRule="atLeast"/>
          <w:jc w:val="center"/>
        </w:trPr>
        <w:tc>
          <w:tcPr>
            <w:tcW w:w="2296" w:type="dxa"/>
            <w:gridSpan w:val="3"/>
            <w:tcBorders>
              <w:top w:val="nil"/>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其他需要说明的问题</w:t>
            </w:r>
          </w:p>
        </w:tc>
        <w:tc>
          <w:tcPr>
            <w:tcW w:w="7727" w:type="dxa"/>
            <w:gridSpan w:val="19"/>
            <w:tcBorders>
              <w:top w:val="nil"/>
              <w:left w:val="nil"/>
              <w:bottom w:val="single" w:color="auto" w:sz="4" w:space="0"/>
              <w:right w:val="single" w:color="000000" w:sz="4" w:space="0"/>
            </w:tcBorders>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这是预计数，具体付款数额要通过实际结算、卫生健康局和财政部门认真审核，区领导批示后为准</w:t>
            </w:r>
          </w:p>
        </w:tc>
      </w:tr>
      <w:tr>
        <w:tblPrEx>
          <w:tblCellMar>
            <w:top w:w="0" w:type="dxa"/>
            <w:left w:w="108" w:type="dxa"/>
            <w:bottom w:w="0" w:type="dxa"/>
            <w:right w:w="108" w:type="dxa"/>
          </w:tblCellMar>
        </w:tblPrEx>
        <w:trPr>
          <w:gridAfter w:val="1"/>
          <w:wAfter w:w="413" w:type="dxa"/>
          <w:trHeight w:val="1826" w:hRule="atLeast"/>
          <w:jc w:val="center"/>
        </w:trPr>
        <w:tc>
          <w:tcPr>
            <w:tcW w:w="22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财政部门业务</w:t>
            </w:r>
          </w:p>
          <w:p>
            <w:pPr>
              <w:widowControl/>
              <w:jc w:val="center"/>
              <w:rPr>
                <w:rFonts w:ascii="黑体" w:hAnsi="黑体" w:eastAsia="黑体" w:cs="宋体"/>
                <w:kern w:val="0"/>
                <w:sz w:val="28"/>
                <w:szCs w:val="28"/>
              </w:rPr>
            </w:pPr>
            <w:r>
              <w:rPr>
                <w:rFonts w:hint="eastAsia" w:ascii="黑体" w:hAnsi="黑体" w:eastAsia="黑体" w:cs="宋体"/>
                <w:kern w:val="0"/>
                <w:sz w:val="28"/>
                <w:szCs w:val="28"/>
              </w:rPr>
              <w:t>股室审核意见</w:t>
            </w:r>
          </w:p>
        </w:tc>
        <w:tc>
          <w:tcPr>
            <w:tcW w:w="7727" w:type="dxa"/>
            <w:gridSpan w:val="19"/>
            <w:tcBorders>
              <w:top w:val="single" w:color="auto" w:sz="4" w:space="0"/>
              <w:left w:val="nil"/>
              <w:bottom w:val="single" w:color="auto" w:sz="4" w:space="0"/>
              <w:right w:val="single" w:color="000000" w:sz="4" w:space="0"/>
            </w:tcBorders>
            <w:noWrap/>
            <w:vAlign w:val="bottom"/>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 xml:space="preserve">                                     （盖章）</w:t>
            </w:r>
          </w:p>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年    月    日    </w:t>
            </w:r>
          </w:p>
        </w:tc>
      </w:tr>
      <w:tr>
        <w:tblPrEx>
          <w:tblCellMar>
            <w:top w:w="0" w:type="dxa"/>
            <w:left w:w="108" w:type="dxa"/>
            <w:bottom w:w="0" w:type="dxa"/>
            <w:right w:w="108" w:type="dxa"/>
          </w:tblCellMar>
        </w:tblPrEx>
        <w:trPr>
          <w:gridAfter w:val="1"/>
          <w:wAfter w:w="413" w:type="dxa"/>
          <w:trHeight w:val="2293" w:hRule="atLeast"/>
          <w:jc w:val="center"/>
        </w:trPr>
        <w:tc>
          <w:tcPr>
            <w:tcW w:w="22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财政部门监督绩效股审核意见</w:t>
            </w:r>
          </w:p>
        </w:tc>
        <w:tc>
          <w:tcPr>
            <w:tcW w:w="7727" w:type="dxa"/>
            <w:gridSpan w:val="19"/>
            <w:tcBorders>
              <w:top w:val="single" w:color="auto" w:sz="4" w:space="0"/>
              <w:left w:val="nil"/>
              <w:bottom w:val="single" w:color="auto" w:sz="4" w:space="0"/>
              <w:right w:val="single" w:color="000000" w:sz="4" w:space="0"/>
            </w:tcBorders>
            <w:noWrap/>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（盖章）</w:t>
            </w:r>
          </w:p>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lNzhjZDIxNDNlYzg2ZmQ1NWU2NDI5MGJkMGE4YmUifQ=="/>
  </w:docVars>
  <w:rsids>
    <w:rsidRoot w:val="79797D42"/>
    <w:rsid w:val="006434DB"/>
    <w:rsid w:val="00766352"/>
    <w:rsid w:val="00EB5C1B"/>
    <w:rsid w:val="02E0230F"/>
    <w:rsid w:val="041B07F0"/>
    <w:rsid w:val="0771286B"/>
    <w:rsid w:val="09D24067"/>
    <w:rsid w:val="0D1E13DD"/>
    <w:rsid w:val="0FE37641"/>
    <w:rsid w:val="11C8555C"/>
    <w:rsid w:val="1D3D55EB"/>
    <w:rsid w:val="21161E55"/>
    <w:rsid w:val="2B7B4E29"/>
    <w:rsid w:val="342F1E6D"/>
    <w:rsid w:val="424571AF"/>
    <w:rsid w:val="46CE7EBD"/>
    <w:rsid w:val="4E062FF2"/>
    <w:rsid w:val="4E14670F"/>
    <w:rsid w:val="50503DEC"/>
    <w:rsid w:val="54F46532"/>
    <w:rsid w:val="5CB355DB"/>
    <w:rsid w:val="619E392D"/>
    <w:rsid w:val="630B2337"/>
    <w:rsid w:val="65600023"/>
    <w:rsid w:val="68FD54B6"/>
    <w:rsid w:val="706C436B"/>
    <w:rsid w:val="79797D42"/>
    <w:rsid w:val="7A0B3E1F"/>
    <w:rsid w:val="7D887CE9"/>
    <w:rsid w:val="7F9031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character" w:customStyle="1" w:styleId="8">
    <w:name w:val="font11"/>
    <w:basedOn w:val="5"/>
    <w:qFormat/>
    <w:uiPriority w:val="0"/>
    <w:rPr>
      <w:rFonts w:hint="eastAsia" w:ascii="仿宋" w:hAnsi="仿宋" w:eastAsia="仿宋" w:cs="仿宋"/>
      <w:color w:val="000000"/>
      <w:sz w:val="18"/>
      <w:szCs w:val="18"/>
      <w:u w:val="none"/>
    </w:rPr>
  </w:style>
  <w:style w:type="character" w:customStyle="1" w:styleId="9">
    <w:name w:val="font21"/>
    <w:basedOn w:val="5"/>
    <w:qFormat/>
    <w:uiPriority w:val="0"/>
    <w:rPr>
      <w:rFonts w:hint="eastAsia" w:ascii="宋体" w:hAnsi="宋体" w:eastAsia="宋体" w:cs="宋体"/>
      <w:color w:val="000000"/>
      <w:sz w:val="18"/>
      <w:szCs w:val="18"/>
      <w:u w:val="none"/>
    </w:rPr>
  </w:style>
  <w:style w:type="character" w:customStyle="1" w:styleId="10">
    <w:name w:val="font31"/>
    <w:basedOn w:val="5"/>
    <w:qFormat/>
    <w:uiPriority w:val="0"/>
    <w:rPr>
      <w:rFonts w:hint="default"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813</Words>
  <Characters>878</Characters>
  <Lines>7</Lines>
  <Paragraphs>2</Paragraphs>
  <TotalTime>5</TotalTime>
  <ScaleCrop>false</ScaleCrop>
  <LinksUpToDate>false</LinksUpToDate>
  <CharactersWithSpaces>1082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2020-07-06T07:43:00Z</dcterms:created>
  <dc:creator>三乙文</dc:creator>
  <cp:lastModifiedBy>倩倩</cp:lastModifiedBy>
  <cp:lastPrinted>2023-02-10T08:51:00Z</cp:lastPrinted>
  <dcterms:modified xsi:type="dcterms:W3CDTF">2023-05-26T07:22:05Z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646FC03596F2449186935099E40F39D8</vt:lpwstr>
  </property>
</Properties>
</file>