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南岳区应急管理局</w:t>
      </w:r>
      <w:r>
        <w:rPr>
          <w:rFonts w:hint="eastAsia"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lang w:val="en-US" w:eastAsia="zh-CN"/>
        </w:rPr>
        <w:t>21</w:t>
      </w:r>
      <w:r>
        <w:rPr>
          <w:rFonts w:hint="eastAsia" w:ascii="方正小标宋_GBK" w:hAnsi="方正小标宋_GBK" w:eastAsia="方正小标宋_GBK" w:cs="方正小标宋_GBK"/>
          <w:sz w:val="44"/>
          <w:szCs w:val="44"/>
        </w:rPr>
        <w:t>年度部门整体支出</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绩效评价报告</w:t>
      </w:r>
    </w:p>
    <w:p>
      <w:pPr>
        <w:spacing w:line="600" w:lineRule="exact"/>
        <w:ind w:firstLine="645"/>
        <w:rPr>
          <w:rFonts w:eastAsia="仿宋_GB2312"/>
          <w:sz w:val="32"/>
          <w:szCs w:val="32"/>
        </w:rPr>
      </w:pPr>
    </w:p>
    <w:p>
      <w:pPr>
        <w:spacing w:line="600" w:lineRule="exact"/>
        <w:ind w:firstLine="645"/>
        <w:rPr>
          <w:rFonts w:eastAsia="仿宋_GB2312"/>
          <w:sz w:val="32"/>
          <w:szCs w:val="32"/>
        </w:rPr>
      </w:pPr>
      <w:r>
        <w:rPr>
          <w:rFonts w:eastAsia="仿宋_GB2312"/>
          <w:sz w:val="32"/>
          <w:szCs w:val="32"/>
        </w:rPr>
        <w:t>根据《中共中央 国务院关于全面实施预算绩效管理的意见》的文件精神，我</w:t>
      </w:r>
      <w:r>
        <w:rPr>
          <w:rFonts w:hint="eastAsia" w:eastAsia="仿宋_GB2312"/>
          <w:sz w:val="32"/>
          <w:szCs w:val="32"/>
          <w:lang w:eastAsia="zh-CN"/>
        </w:rPr>
        <w:t>局</w:t>
      </w:r>
      <w:r>
        <w:rPr>
          <w:rFonts w:eastAsia="仿宋_GB2312"/>
          <w:sz w:val="32"/>
          <w:szCs w:val="32"/>
        </w:rPr>
        <w:t>对部门整体支出进行了绩效评价，现报告如下：</w:t>
      </w:r>
    </w:p>
    <w:p>
      <w:pPr>
        <w:numPr>
          <w:ilvl w:val="0"/>
          <w:numId w:val="0"/>
        </w:numPr>
        <w:ind w:firstLine="640" w:firstLineChars="200"/>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一、</w:t>
      </w:r>
      <w:r>
        <w:rPr>
          <w:rFonts w:hint="eastAsia" w:ascii="黑体" w:hAnsi="Times New Roman" w:eastAsia="黑体" w:cs="Times New Roman"/>
          <w:sz w:val="32"/>
          <w:szCs w:val="32"/>
        </w:rPr>
        <w:t>部门（单位）基本情况</w:t>
      </w:r>
    </w:p>
    <w:p>
      <w:pPr>
        <w:widowControl/>
        <w:spacing w:line="600" w:lineRule="exact"/>
        <w:ind w:firstLine="630" w:firstLineChars="196"/>
        <w:jc w:val="left"/>
        <w:rPr>
          <w:rFonts w:eastAsia="楷体_GB2312"/>
          <w:b/>
          <w:snapToGrid w:val="0"/>
          <w:kern w:val="0"/>
          <w:sz w:val="32"/>
          <w:szCs w:val="32"/>
        </w:rPr>
      </w:pPr>
      <w:r>
        <w:rPr>
          <w:rFonts w:eastAsia="楷体_GB2312"/>
          <w:b/>
          <w:snapToGrid w:val="0"/>
          <w:kern w:val="0"/>
          <w:sz w:val="32"/>
          <w:szCs w:val="32"/>
        </w:rPr>
        <w:t>（一）部门职能职责</w:t>
      </w:r>
    </w:p>
    <w:p>
      <w:pPr>
        <w:spacing w:line="600" w:lineRule="exact"/>
        <w:ind w:firstLine="645"/>
        <w:rPr>
          <w:rFonts w:hint="eastAsia" w:eastAsia="仿宋_GB2312"/>
          <w:sz w:val="32"/>
          <w:szCs w:val="32"/>
        </w:rPr>
      </w:pPr>
      <w:r>
        <w:rPr>
          <w:rFonts w:hint="eastAsia" w:eastAsia="仿宋_GB2312"/>
          <w:sz w:val="32"/>
          <w:szCs w:val="32"/>
        </w:rPr>
        <w:t>(一) 负责应急管理工作，指导全区应对安全生产类、自然灾害类等突发事件和综合防灾减灾救灾工作。负责安全生产综合监督管理和权限内工矿商贸行业安全生产监督管理工作。</w:t>
      </w:r>
    </w:p>
    <w:p>
      <w:pPr>
        <w:spacing w:line="600" w:lineRule="exact"/>
        <w:ind w:firstLine="645"/>
        <w:rPr>
          <w:rFonts w:hint="eastAsia" w:eastAsia="仿宋_GB2312"/>
          <w:sz w:val="32"/>
          <w:szCs w:val="32"/>
        </w:rPr>
      </w:pPr>
      <w:r>
        <w:rPr>
          <w:rFonts w:hint="eastAsia" w:eastAsia="仿宋_GB2312"/>
          <w:sz w:val="32"/>
          <w:szCs w:val="32"/>
        </w:rPr>
        <w:t>(二)贯彻实施相关法律法规，部门规章、规程和标准，组织编制全区应急体系建设、安全生产和综合防灾减灾规划，组织起草相关规范性文件，组织拟订相关政策并监督实施。</w:t>
      </w:r>
    </w:p>
    <w:p>
      <w:pPr>
        <w:spacing w:line="600" w:lineRule="exact"/>
        <w:ind w:firstLine="645"/>
        <w:rPr>
          <w:rFonts w:hint="eastAsia" w:eastAsia="仿宋_GB2312"/>
          <w:sz w:val="32"/>
          <w:szCs w:val="32"/>
        </w:rPr>
      </w:pPr>
      <w:r>
        <w:rPr>
          <w:rFonts w:hint="eastAsia" w:eastAsia="仿宋_GB2312"/>
          <w:sz w:val="32"/>
          <w:szCs w:val="32"/>
        </w:rPr>
        <w:t>(三)指导应急预案体系建设，建立完善事故灾难和自然灾害分级应对制度，组织编制南岳区总体应急预案和安全生产类、自然灾害类专项预案，综合协调应急预案衔接工作，组织开展预案演练，推动应急避难设施建设。</w:t>
      </w:r>
    </w:p>
    <w:p>
      <w:pPr>
        <w:spacing w:line="600" w:lineRule="exact"/>
        <w:ind w:firstLine="645"/>
        <w:rPr>
          <w:rFonts w:hint="eastAsia" w:eastAsia="仿宋_GB2312"/>
          <w:sz w:val="32"/>
          <w:szCs w:val="32"/>
        </w:rPr>
      </w:pPr>
      <w:r>
        <w:rPr>
          <w:rFonts w:hint="eastAsia" w:eastAsia="仿宋_GB2312"/>
          <w:sz w:val="32"/>
          <w:szCs w:val="32"/>
        </w:rPr>
        <w:t>(</w:t>
      </w:r>
      <w:r>
        <w:rPr>
          <w:rFonts w:hint="eastAsia" w:eastAsia="仿宋_GB2312"/>
          <w:sz w:val="32"/>
          <w:szCs w:val="32"/>
          <w:lang w:eastAsia="zh-CN"/>
        </w:rPr>
        <w:t>四</w:t>
      </w:r>
      <w:r>
        <w:rPr>
          <w:rFonts w:hint="eastAsia" w:eastAsia="仿宋_GB2312"/>
          <w:sz w:val="32"/>
          <w:szCs w:val="32"/>
        </w:rPr>
        <w:t>)牵头推进全区统一的应急管理信息系统建设，负责信息传输渠道的规划和布局，建立监测预警和灾情报告制度，健全自然史害信息资源获取和共享机制，依法统</w:t>
      </w:r>
      <w:r>
        <w:rPr>
          <w:rFonts w:hint="eastAsia" w:eastAsia="仿宋_GB2312"/>
          <w:sz w:val="32"/>
          <w:szCs w:val="32"/>
          <w:lang w:eastAsia="zh-CN"/>
        </w:rPr>
        <w:t>一</w:t>
      </w:r>
      <w:r>
        <w:rPr>
          <w:rFonts w:hint="eastAsia" w:eastAsia="仿宋_GB2312"/>
          <w:sz w:val="32"/>
          <w:szCs w:val="32"/>
        </w:rPr>
        <w:t>发布</w:t>
      </w:r>
      <w:r>
        <w:rPr>
          <w:rFonts w:hint="eastAsia" w:eastAsia="仿宋_GB2312"/>
          <w:sz w:val="32"/>
          <w:szCs w:val="32"/>
          <w:lang w:eastAsia="zh-CN"/>
        </w:rPr>
        <w:t>灾</w:t>
      </w:r>
      <w:r>
        <w:rPr>
          <w:rFonts w:hint="eastAsia" w:eastAsia="仿宋_GB2312"/>
          <w:sz w:val="32"/>
          <w:szCs w:val="32"/>
        </w:rPr>
        <w:t>情。</w:t>
      </w:r>
    </w:p>
    <w:p>
      <w:pPr>
        <w:spacing w:line="600" w:lineRule="exact"/>
        <w:ind w:firstLine="645"/>
        <w:rPr>
          <w:rFonts w:hint="eastAsia" w:eastAsia="仿宋_GB2312"/>
          <w:sz w:val="32"/>
          <w:szCs w:val="32"/>
        </w:rPr>
      </w:pPr>
      <w:r>
        <w:rPr>
          <w:rFonts w:hint="eastAsia" w:eastAsia="仿宋_GB2312"/>
          <w:sz w:val="32"/>
          <w:szCs w:val="32"/>
        </w:rPr>
        <w:t>(五)组织指导协调安全生产类、自然灾害类等突发事件应急救授，承担区应对-般灾害指挥部工作，综合研判突发事件发展态势并提出应对建议，协助区委、区政府指定的负责同志组织一般及以上灾害应急处置工作。</w:t>
      </w:r>
    </w:p>
    <w:p>
      <w:pPr>
        <w:spacing w:line="600" w:lineRule="exact"/>
        <w:ind w:firstLine="645"/>
        <w:rPr>
          <w:rFonts w:hint="eastAsia" w:eastAsia="仿宋_GB2312"/>
          <w:sz w:val="32"/>
          <w:szCs w:val="32"/>
        </w:rPr>
      </w:pPr>
      <w:r>
        <w:rPr>
          <w:rFonts w:hint="eastAsia" w:eastAsia="仿宋_GB2312"/>
          <w:sz w:val="32"/>
          <w:szCs w:val="32"/>
        </w:rPr>
        <w:t>(六)统一协调指挥各类应急专业队伍，建立应急协调联动机制，推进指挥平台对接，负责解放军和武警部队参与应急救援相关衔接工作。</w:t>
      </w:r>
    </w:p>
    <w:p>
      <w:pPr>
        <w:spacing w:line="600" w:lineRule="exact"/>
        <w:ind w:firstLine="645"/>
        <w:rPr>
          <w:rFonts w:hint="eastAsia" w:eastAsia="仿宋_GB2312"/>
          <w:sz w:val="32"/>
          <w:szCs w:val="32"/>
        </w:rPr>
      </w:pPr>
      <w:r>
        <w:rPr>
          <w:rFonts w:hint="eastAsia" w:eastAsia="仿宋_GB2312"/>
          <w:sz w:val="32"/>
          <w:szCs w:val="32"/>
        </w:rPr>
        <w:t>(七)统筹全区应急救援力量建设，负责消防、森林火灾扑救、抗洪抢险、地震和地质灾害救授、生</w:t>
      </w:r>
      <w:r>
        <w:rPr>
          <w:rFonts w:hint="eastAsia" w:eastAsia="仿宋_GB2312"/>
          <w:sz w:val="32"/>
          <w:szCs w:val="32"/>
          <w:lang w:eastAsia="zh-CN"/>
        </w:rPr>
        <w:t>产</w:t>
      </w:r>
      <w:r>
        <w:rPr>
          <w:rFonts w:hint="eastAsia" w:eastAsia="仿宋_GB2312"/>
          <w:sz w:val="32"/>
          <w:szCs w:val="32"/>
        </w:rPr>
        <w:t>安全事故救援等专业应急救援力量建设，依权限做好驻岳国家综合性应急救援队伍建设的相关工作，指导地方及社会应急救援力量建设。</w:t>
      </w:r>
    </w:p>
    <w:p>
      <w:pPr>
        <w:spacing w:line="600" w:lineRule="exact"/>
        <w:ind w:firstLine="645"/>
        <w:rPr>
          <w:rFonts w:hint="eastAsia" w:eastAsia="仿宋_GB2312"/>
          <w:sz w:val="32"/>
          <w:szCs w:val="32"/>
        </w:rPr>
      </w:pPr>
      <w:r>
        <w:rPr>
          <w:rFonts w:hint="eastAsia" w:eastAsia="仿宋_GB2312"/>
          <w:sz w:val="32"/>
          <w:szCs w:val="32"/>
        </w:rPr>
        <w:t>(八)负责协调全区消防管理有关工作，指导全区消防监督、火灾预防、火灾扑救等工作。</w:t>
      </w:r>
    </w:p>
    <w:p>
      <w:pPr>
        <w:spacing w:line="600" w:lineRule="exact"/>
        <w:ind w:firstLine="645"/>
        <w:rPr>
          <w:rFonts w:hint="eastAsia" w:eastAsia="仿宋_GB2312"/>
          <w:sz w:val="32"/>
          <w:szCs w:val="32"/>
        </w:rPr>
      </w:pPr>
      <w:r>
        <w:rPr>
          <w:rFonts w:hint="eastAsia" w:eastAsia="仿宋_GB2312"/>
          <w:sz w:val="32"/>
          <w:szCs w:val="32"/>
        </w:rPr>
        <w:t>(九)指导协调全区森林火灾、水旱灾害、地震和地质灾害等防治工作，负责自然灾害综合监测预警工作，指导开展自然灾害综合风险评估工作。</w:t>
      </w:r>
    </w:p>
    <w:p>
      <w:pPr>
        <w:spacing w:line="600" w:lineRule="exact"/>
        <w:ind w:firstLine="645"/>
        <w:rPr>
          <w:rFonts w:hint="eastAsia" w:eastAsia="仿宋_GB2312"/>
          <w:sz w:val="32"/>
          <w:szCs w:val="32"/>
        </w:rPr>
      </w:pPr>
      <w:r>
        <w:rPr>
          <w:rFonts w:hint="eastAsia" w:eastAsia="仿宋_GB2312"/>
          <w:sz w:val="32"/>
          <w:szCs w:val="32"/>
        </w:rPr>
        <w:t>(十)组织协调灾害救助工作，组织指导灾情核查、损失评估、救灾捐赠工作，按权限管理、分配中央、省、市级下达和区级救灾抗灾款物并监督使用。</w:t>
      </w:r>
    </w:p>
    <w:p>
      <w:pPr>
        <w:spacing w:line="600" w:lineRule="exact"/>
        <w:ind w:firstLine="645"/>
        <w:rPr>
          <w:rFonts w:hint="eastAsia" w:eastAsia="仿宋_GB2312"/>
          <w:sz w:val="32"/>
          <w:szCs w:val="32"/>
        </w:rPr>
      </w:pPr>
      <w:r>
        <w:rPr>
          <w:rFonts w:hint="eastAsia" w:eastAsia="仿宋_GB2312"/>
          <w:sz w:val="32"/>
          <w:szCs w:val="32"/>
        </w:rPr>
        <w:t>(十一)依法行使安全生产综合监督管理职权，指导协调、监督检查区直有关部门和各乡镇(街道)的安全生产工作，组织开展安全生产巡查、考核工作。</w:t>
      </w:r>
    </w:p>
    <w:p>
      <w:pPr>
        <w:spacing w:line="600" w:lineRule="exact"/>
        <w:ind w:firstLine="645"/>
        <w:rPr>
          <w:rFonts w:hint="eastAsia" w:eastAsia="仿宋_GB2312"/>
          <w:sz w:val="32"/>
          <w:szCs w:val="32"/>
        </w:rPr>
      </w:pPr>
      <w:r>
        <w:rPr>
          <w:rFonts w:hint="eastAsia" w:eastAsia="仿宋_GB2312"/>
          <w:sz w:val="32"/>
          <w:szCs w:val="32"/>
        </w:rPr>
        <w:t>(十二)按照分级、属地原则，依法监督检查权限内工矿</w:t>
      </w:r>
    </w:p>
    <w:p>
      <w:pPr>
        <w:spacing w:line="600" w:lineRule="exact"/>
        <w:rPr>
          <w:rFonts w:hint="eastAsia" w:eastAsia="仿宋_GB2312"/>
          <w:sz w:val="32"/>
          <w:szCs w:val="32"/>
        </w:rPr>
      </w:pPr>
      <w:r>
        <w:rPr>
          <w:rFonts w:hint="eastAsia" w:eastAsia="仿宋_GB2312"/>
          <w:sz w:val="32"/>
          <w:szCs w:val="32"/>
        </w:rPr>
        <w:t>商贸企业贯彻执行安全生产法律法规情况及其安全生产条件和有关设备(特种设备除外)、材料、劳动防护用品的安全生产管理工作。依法组织并指导监督实施安全生产准入制度。负责危险化学品安全监督管理综合工作和烟花爆竹经营安全监督管理工作。</w:t>
      </w:r>
    </w:p>
    <w:p>
      <w:pPr>
        <w:spacing w:line="600" w:lineRule="exact"/>
        <w:ind w:firstLine="645"/>
        <w:rPr>
          <w:rFonts w:hint="eastAsia" w:eastAsia="仿宋_GB2312"/>
          <w:sz w:val="32"/>
          <w:szCs w:val="32"/>
        </w:rPr>
      </w:pPr>
      <w:r>
        <w:rPr>
          <w:rFonts w:hint="eastAsia" w:eastAsia="仿宋_GB2312"/>
          <w:sz w:val="32"/>
          <w:szCs w:val="32"/>
        </w:rPr>
        <w:t>(十三)负责全区非煤矿山安全生产监督管理工作。</w:t>
      </w:r>
    </w:p>
    <w:p>
      <w:pPr>
        <w:spacing w:line="600" w:lineRule="exact"/>
        <w:ind w:firstLine="645"/>
        <w:rPr>
          <w:rFonts w:hint="eastAsia" w:eastAsia="仿宋_GB2312"/>
          <w:sz w:val="32"/>
          <w:szCs w:val="32"/>
        </w:rPr>
      </w:pPr>
      <w:r>
        <w:rPr>
          <w:rFonts w:hint="eastAsia" w:eastAsia="仿宋_GB2312"/>
          <w:sz w:val="32"/>
          <w:szCs w:val="32"/>
        </w:rPr>
        <w:t>(十四)依法组织指导生产安全事故调查处理，监督事故查处和责任追究落实情况。组织开展自然灾害类突发事件的调查评估工作。</w:t>
      </w:r>
    </w:p>
    <w:p>
      <w:pPr>
        <w:spacing w:line="600" w:lineRule="exact"/>
        <w:ind w:firstLine="645"/>
        <w:rPr>
          <w:rFonts w:hint="eastAsia" w:eastAsia="仿宋_GB2312"/>
          <w:sz w:val="32"/>
          <w:szCs w:val="32"/>
        </w:rPr>
      </w:pPr>
      <w:r>
        <w:rPr>
          <w:rFonts w:hint="eastAsia" w:eastAsia="仿宋_GB2312"/>
          <w:sz w:val="32"/>
          <w:szCs w:val="32"/>
        </w:rPr>
        <w:t>(十五)制定全区应急物资储备和应急救授装备规划并组织实施，会同区发展改革局等部门建立健全应急物资信息平台调拨制度，在救灾时统一调度。</w:t>
      </w:r>
    </w:p>
    <w:p>
      <w:pPr>
        <w:spacing w:line="600" w:lineRule="exact"/>
        <w:ind w:firstLine="645"/>
        <w:rPr>
          <w:rFonts w:hint="eastAsia" w:eastAsia="仿宋_GB2312"/>
          <w:sz w:val="32"/>
          <w:szCs w:val="32"/>
        </w:rPr>
      </w:pPr>
      <w:r>
        <w:rPr>
          <w:rFonts w:hint="eastAsia" w:eastAsia="仿宋_GB2312"/>
          <w:sz w:val="32"/>
          <w:szCs w:val="32"/>
        </w:rPr>
        <w:t>(十六)负责应急管理、安全生产宣传教育和培训工作，组织指导应急管理、安全生产的科学技术研究，推广应用和信息化建设工作。</w:t>
      </w:r>
    </w:p>
    <w:p>
      <w:pPr>
        <w:spacing w:line="600" w:lineRule="exact"/>
        <w:ind w:firstLine="645"/>
        <w:rPr>
          <w:rFonts w:hint="eastAsia" w:eastAsia="仿宋_GB2312"/>
          <w:sz w:val="32"/>
          <w:szCs w:val="32"/>
        </w:rPr>
      </w:pPr>
      <w:r>
        <w:rPr>
          <w:rFonts w:hint="eastAsia" w:eastAsia="仿宋_GB2312"/>
          <w:sz w:val="32"/>
          <w:szCs w:val="32"/>
        </w:rPr>
        <w:t>(十七)开展应急管理对外交流与合作，组织参与安全生产类、自然灾害类等突发事件的对外救援工作。</w:t>
      </w:r>
    </w:p>
    <w:p>
      <w:pPr>
        <w:spacing w:line="600" w:lineRule="exact"/>
        <w:ind w:firstLine="645"/>
        <w:rPr>
          <w:rFonts w:hint="eastAsia" w:eastAsia="仿宋_GB2312"/>
          <w:sz w:val="32"/>
          <w:szCs w:val="32"/>
        </w:rPr>
      </w:pPr>
      <w:r>
        <w:rPr>
          <w:rFonts w:hint="eastAsia" w:eastAsia="仿宋_GB2312"/>
          <w:sz w:val="32"/>
          <w:szCs w:val="32"/>
        </w:rPr>
        <w:t>(十八)承担区防汛抗旱指挥部日常工作，协调区防汛抗旱指挥部成员单位的相关工作，组织执行国家防汛抗旱总指挥部、相关流域防汛抗旱指挥机构、市防汛抗旱指挥部和区防汛抗旱指挥部的指示和命令。</w:t>
      </w:r>
    </w:p>
    <w:p>
      <w:pPr>
        <w:spacing w:line="600" w:lineRule="exact"/>
        <w:ind w:firstLine="645"/>
        <w:rPr>
          <w:rFonts w:hint="eastAsia" w:eastAsia="仿宋_GB2312"/>
          <w:sz w:val="32"/>
          <w:szCs w:val="32"/>
        </w:rPr>
      </w:pPr>
      <w:r>
        <w:rPr>
          <w:rFonts w:hint="eastAsia" w:eastAsia="仿宋_GB2312"/>
          <w:sz w:val="32"/>
          <w:szCs w:val="32"/>
        </w:rPr>
        <w:t>(十九)完成区委、区政府交办的其他任务。</w:t>
      </w:r>
    </w:p>
    <w:p>
      <w:pPr>
        <w:spacing w:line="600" w:lineRule="exact"/>
        <w:ind w:firstLine="645"/>
        <w:rPr>
          <w:rFonts w:hint="eastAsia" w:eastAsia="仿宋_GB2312"/>
          <w:sz w:val="32"/>
          <w:szCs w:val="32"/>
        </w:rPr>
      </w:pPr>
      <w:r>
        <w:rPr>
          <w:rFonts w:hint="eastAsia" w:eastAsia="仿宋_GB2312"/>
          <w:sz w:val="32"/>
          <w:szCs w:val="32"/>
        </w:rPr>
        <w:t>(二十)职能转变。区应急局应加强、优化，统筹全区应急能力建设，构建统一领导、权责一致、权威高效的应急能力体系，推动形成统一指挥，专常兼备、反应灵敏、上下联动、平战结合的中国特色应急管理体制。</w:t>
      </w:r>
      <w:r>
        <w:rPr>
          <w:rFonts w:hint="eastAsia" w:eastAsia="仿宋_GB2312"/>
          <w:sz w:val="32"/>
          <w:szCs w:val="32"/>
          <w:lang w:eastAsia="zh-CN"/>
        </w:rPr>
        <w:t>一</w:t>
      </w:r>
      <w:r>
        <w:rPr>
          <w:rFonts w:hint="eastAsia" w:eastAsia="仿宋_GB2312"/>
          <w:sz w:val="32"/>
          <w:szCs w:val="32"/>
        </w:rPr>
        <w:t>是坚持以防为主、防抗救结合，坚持常态减灾和非常态救灾相统一，努力实现从注重灾后救助向注重灾前预防转变，从应对单一灾种向综合减灾转变，从减少灾害损失向减轻灾害风险转变，提高全区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spacing w:line="600" w:lineRule="exact"/>
        <w:ind w:firstLine="645"/>
        <w:rPr>
          <w:rFonts w:hint="eastAsia" w:eastAsia="仿宋_GB2312"/>
          <w:sz w:val="32"/>
          <w:szCs w:val="32"/>
        </w:rPr>
      </w:pPr>
      <w:r>
        <w:rPr>
          <w:rFonts w:hint="eastAsia" w:eastAsia="仿宋_GB2312"/>
          <w:sz w:val="32"/>
          <w:szCs w:val="32"/>
        </w:rPr>
        <w:t>(二十一)职责分工。</w:t>
      </w:r>
    </w:p>
    <w:p>
      <w:pPr>
        <w:spacing w:line="600" w:lineRule="exact"/>
        <w:ind w:firstLine="645"/>
        <w:rPr>
          <w:rFonts w:hint="eastAsia" w:eastAsia="仿宋_GB2312"/>
          <w:sz w:val="32"/>
          <w:szCs w:val="32"/>
        </w:rPr>
      </w:pPr>
      <w:r>
        <w:rPr>
          <w:rFonts w:hint="eastAsia" w:eastAsia="仿宋_GB2312"/>
          <w:sz w:val="32"/>
          <w:szCs w:val="32"/>
          <w:lang w:val="en-US" w:eastAsia="zh-CN"/>
        </w:rPr>
        <w:t>1.</w:t>
      </w:r>
      <w:r>
        <w:rPr>
          <w:rFonts w:hint="eastAsia" w:eastAsia="仿宋_GB2312"/>
          <w:sz w:val="32"/>
          <w:szCs w:val="32"/>
        </w:rPr>
        <w:t>与区自然资源局、区农业农村局、区林业局等部门在自然灾害防救方面的职责分工。</w:t>
      </w:r>
    </w:p>
    <w:p>
      <w:pPr>
        <w:spacing w:line="600" w:lineRule="exact"/>
        <w:ind w:firstLine="645"/>
        <w:rPr>
          <w:rFonts w:hint="eastAsia" w:eastAsia="仿宋_GB2312"/>
          <w:sz w:val="32"/>
          <w:szCs w:val="32"/>
        </w:rPr>
      </w:pPr>
      <w:r>
        <w:rPr>
          <w:rFonts w:hint="eastAsia" w:eastAsia="仿宋_GB2312"/>
          <w:sz w:val="32"/>
          <w:szCs w:val="32"/>
        </w:rPr>
        <w:t>(1)区应急局负责组织编制南岳区总体应急预案和安全生产类、自然灾害类专项预案，综合协调应急预案衔接工作，组织开展预案演练。按照分级负责的原则，指导自然灾害类应急救援</w:t>
      </w:r>
      <w:r>
        <w:rPr>
          <w:rFonts w:hint="eastAsia" w:eastAsia="仿宋_GB2312"/>
          <w:sz w:val="32"/>
          <w:szCs w:val="32"/>
          <w:lang w:eastAsia="zh-CN"/>
        </w:rPr>
        <w:t>；</w:t>
      </w:r>
      <w:r>
        <w:rPr>
          <w:rFonts w:hint="eastAsia" w:eastAsia="仿宋_GB2312"/>
          <w:sz w:val="32"/>
          <w:szCs w:val="32"/>
        </w:rPr>
        <w:t>组织协调一般及以上灾害应急救援工作，并按权限做出决定</w:t>
      </w:r>
      <w:r>
        <w:rPr>
          <w:rFonts w:hint="eastAsia" w:eastAsia="仿宋_GB2312"/>
          <w:sz w:val="32"/>
          <w:szCs w:val="32"/>
          <w:lang w:eastAsia="zh-CN"/>
        </w:rPr>
        <w:t>；</w:t>
      </w:r>
      <w:r>
        <w:rPr>
          <w:rFonts w:hint="eastAsia" w:eastAsia="仿宋_GB2312"/>
          <w:sz w:val="32"/>
          <w:szCs w:val="32"/>
        </w:rPr>
        <w:t>承担区应对一般灾害指挥部工作，协助区委、区政府指定的负责同志组织一般及以上灾害应急处置工作。组织编制综合防灾减灾规划，指导协调相关部门森林火灾、水旱灾害、地震和地质灾害等防治工作</w:t>
      </w:r>
      <w:r>
        <w:rPr>
          <w:rFonts w:hint="eastAsia" w:eastAsia="仿宋_GB2312"/>
          <w:sz w:val="32"/>
          <w:szCs w:val="32"/>
          <w:lang w:eastAsia="zh-CN"/>
        </w:rPr>
        <w:t>；</w:t>
      </w:r>
      <w:r>
        <w:rPr>
          <w:rFonts w:hint="eastAsia" w:eastAsia="仿宋_GB2312"/>
          <w:sz w:val="32"/>
          <w:szCs w:val="32"/>
        </w:rPr>
        <w:t>会同区自然资源局，区农业农村局、区气象局、区林业局等有关部门建立统一的应急管理信息平台，建立监测预警和灾情报告制度，健全自然灾害信息资源获取和共享机制，依法统一发布灾情。开展多灾种和灾害链综合监测预警，指导开展自然灾害综合风险评估。负责森林火情监测预警工作，发布森林火险、火灾信息。</w:t>
      </w:r>
    </w:p>
    <w:p>
      <w:pPr>
        <w:spacing w:line="600" w:lineRule="exact"/>
        <w:ind w:firstLine="645"/>
        <w:rPr>
          <w:rFonts w:hint="eastAsia" w:eastAsia="仿宋_GB2312"/>
          <w:sz w:val="32"/>
          <w:szCs w:val="32"/>
        </w:rPr>
      </w:pPr>
      <w:r>
        <w:rPr>
          <w:rFonts w:hint="eastAsia" w:eastAsia="仿宋_GB2312"/>
          <w:sz w:val="32"/>
          <w:szCs w:val="32"/>
        </w:rPr>
        <w:t>(2)区自然资源局负责落实综合防灾减灾规划相关要求，组织编制地质灾害防治规划和防护标准并指导实施</w:t>
      </w:r>
      <w:r>
        <w:rPr>
          <w:rFonts w:hint="eastAsia" w:eastAsia="仿宋_GB2312"/>
          <w:sz w:val="32"/>
          <w:szCs w:val="32"/>
          <w:lang w:eastAsia="zh-CN"/>
        </w:rPr>
        <w:t>；</w:t>
      </w:r>
      <w:r>
        <w:rPr>
          <w:rFonts w:hint="eastAsia" w:eastAsia="仿宋_GB2312"/>
          <w:sz w:val="32"/>
          <w:szCs w:val="32"/>
        </w:rPr>
        <w:t>组织指导协调和监督地质灾害调查评价及隐患的普查、详查、排查</w:t>
      </w:r>
      <w:r>
        <w:rPr>
          <w:rFonts w:hint="eastAsia" w:eastAsia="仿宋_GB2312"/>
          <w:sz w:val="32"/>
          <w:szCs w:val="32"/>
          <w:lang w:eastAsia="zh-CN"/>
        </w:rPr>
        <w:t>；</w:t>
      </w:r>
      <w:r>
        <w:rPr>
          <w:rFonts w:hint="eastAsia" w:eastAsia="仿宋_GB2312"/>
          <w:sz w:val="32"/>
          <w:szCs w:val="32"/>
        </w:rPr>
        <w:t>指导开展群测群防、专业监测和预报预警等工作，指导开展地质灾害工程治理工作</w:t>
      </w:r>
      <w:r>
        <w:rPr>
          <w:rFonts w:hint="eastAsia" w:eastAsia="仿宋_GB2312"/>
          <w:sz w:val="32"/>
          <w:szCs w:val="32"/>
          <w:lang w:eastAsia="zh-CN"/>
        </w:rPr>
        <w:t>；</w:t>
      </w:r>
      <w:r>
        <w:rPr>
          <w:rFonts w:hint="eastAsia" w:eastAsia="仿宋_GB2312"/>
          <w:sz w:val="32"/>
          <w:szCs w:val="32"/>
        </w:rPr>
        <w:t>承担地质灾害应急救援的技术支撑工作。</w:t>
      </w:r>
    </w:p>
    <w:p>
      <w:pPr>
        <w:spacing w:line="600" w:lineRule="exact"/>
        <w:ind w:firstLine="645"/>
        <w:rPr>
          <w:rFonts w:hint="eastAsia" w:eastAsia="仿宋_GB2312"/>
          <w:sz w:val="32"/>
          <w:szCs w:val="32"/>
        </w:rPr>
      </w:pPr>
      <w:r>
        <w:rPr>
          <w:rFonts w:hint="eastAsia" w:eastAsia="仿宋_GB2312"/>
          <w:sz w:val="32"/>
          <w:szCs w:val="32"/>
        </w:rPr>
        <w:t>(3)区农业农村局负责落实综合防灾减灾规划相关要求，组织编制洪水干旱灾害防治规划和防护标准并指导实施</w:t>
      </w:r>
      <w:r>
        <w:rPr>
          <w:rFonts w:hint="eastAsia" w:eastAsia="仿宋_GB2312"/>
          <w:sz w:val="32"/>
          <w:szCs w:val="32"/>
          <w:lang w:eastAsia="zh-CN"/>
        </w:rPr>
        <w:t>；</w:t>
      </w:r>
      <w:r>
        <w:rPr>
          <w:rFonts w:hint="eastAsia" w:eastAsia="仿宋_GB2312"/>
          <w:sz w:val="32"/>
          <w:szCs w:val="32"/>
        </w:rPr>
        <w:t>承担水情旱情监测预警工作</w:t>
      </w:r>
      <w:r>
        <w:rPr>
          <w:rFonts w:hint="eastAsia" w:eastAsia="仿宋_GB2312"/>
          <w:sz w:val="32"/>
          <w:szCs w:val="32"/>
          <w:lang w:eastAsia="zh-CN"/>
        </w:rPr>
        <w:t>；</w:t>
      </w:r>
      <w:r>
        <w:rPr>
          <w:rFonts w:hint="eastAsia" w:eastAsia="仿宋_GB2312"/>
          <w:sz w:val="32"/>
          <w:szCs w:val="32"/>
        </w:rPr>
        <w:t>组织编制重要河流、水库和重要水利工程的防御洪水抗御旱灾调度和应急水量调度方案，按程序报批并组织实施</w:t>
      </w:r>
      <w:r>
        <w:rPr>
          <w:rFonts w:hint="eastAsia" w:eastAsia="仿宋_GB2312"/>
          <w:sz w:val="32"/>
          <w:szCs w:val="32"/>
          <w:lang w:eastAsia="zh-CN"/>
        </w:rPr>
        <w:t>；</w:t>
      </w:r>
      <w:r>
        <w:rPr>
          <w:rFonts w:hint="eastAsia" w:eastAsia="仿宋_GB2312"/>
          <w:sz w:val="32"/>
          <w:szCs w:val="32"/>
        </w:rPr>
        <w:t>承担防御洪水应急抢险的技术支撑工作</w:t>
      </w:r>
      <w:r>
        <w:rPr>
          <w:rFonts w:hint="eastAsia" w:eastAsia="仿宋_GB2312"/>
          <w:sz w:val="32"/>
          <w:szCs w:val="32"/>
          <w:lang w:eastAsia="zh-CN"/>
        </w:rPr>
        <w:t>；</w:t>
      </w:r>
      <w:r>
        <w:rPr>
          <w:rFonts w:hint="eastAsia" w:eastAsia="仿宋_GB2312"/>
          <w:sz w:val="32"/>
          <w:szCs w:val="32"/>
        </w:rPr>
        <w:t>承担台风防御期间重要水工程调度工作。</w:t>
      </w:r>
    </w:p>
    <w:p>
      <w:pPr>
        <w:spacing w:line="600" w:lineRule="exact"/>
        <w:ind w:firstLine="645"/>
        <w:rPr>
          <w:rFonts w:hint="eastAsia" w:eastAsia="仿宋_GB2312"/>
          <w:sz w:val="32"/>
          <w:szCs w:val="32"/>
        </w:rPr>
      </w:pPr>
      <w:r>
        <w:rPr>
          <w:rFonts w:hint="eastAsia" w:eastAsia="仿宋_GB2312"/>
          <w:sz w:val="32"/>
          <w:szCs w:val="32"/>
        </w:rPr>
        <w:t>(</w:t>
      </w:r>
      <w:r>
        <w:rPr>
          <w:rFonts w:hint="eastAsia" w:eastAsia="仿宋_GB2312"/>
          <w:sz w:val="32"/>
          <w:szCs w:val="32"/>
          <w:lang w:val="en-US" w:eastAsia="zh-CN"/>
        </w:rPr>
        <w:t>4</w:t>
      </w:r>
      <w:r>
        <w:rPr>
          <w:rFonts w:hint="eastAsia" w:eastAsia="仿宋_GB2312"/>
          <w:sz w:val="32"/>
          <w:szCs w:val="32"/>
        </w:rPr>
        <w:t>)区林业局负责落实综合防灾减灾规划相关要求，组织编制森林火灾防治规划和防护标准并指导实施</w:t>
      </w:r>
      <w:r>
        <w:rPr>
          <w:rFonts w:hint="eastAsia" w:eastAsia="仿宋_GB2312"/>
          <w:sz w:val="32"/>
          <w:szCs w:val="32"/>
          <w:lang w:eastAsia="zh-CN"/>
        </w:rPr>
        <w:t>；</w:t>
      </w:r>
      <w:r>
        <w:rPr>
          <w:rFonts w:hint="eastAsia" w:eastAsia="仿宋_GB2312"/>
          <w:sz w:val="32"/>
          <w:szCs w:val="32"/>
        </w:rPr>
        <w:t>指导开展防火巡护、火源管理、防火设施建设等工作</w:t>
      </w:r>
      <w:r>
        <w:rPr>
          <w:rFonts w:hint="eastAsia" w:eastAsia="仿宋_GB2312"/>
          <w:sz w:val="32"/>
          <w:szCs w:val="32"/>
          <w:lang w:eastAsia="zh-CN"/>
        </w:rPr>
        <w:t>；</w:t>
      </w:r>
      <w:r>
        <w:rPr>
          <w:rFonts w:hint="eastAsia" w:eastAsia="仿宋_GB2312"/>
          <w:sz w:val="32"/>
          <w:szCs w:val="32"/>
        </w:rPr>
        <w:t>组织指导国有林场、树木园开展防火宣传教育、监测预警、督促检查等工作。</w:t>
      </w:r>
    </w:p>
    <w:p>
      <w:pPr>
        <w:spacing w:line="600" w:lineRule="exact"/>
        <w:ind w:firstLine="645"/>
        <w:rPr>
          <w:rFonts w:hint="eastAsia" w:eastAsia="仿宋_GB2312"/>
          <w:sz w:val="32"/>
          <w:szCs w:val="32"/>
        </w:rPr>
      </w:pPr>
      <w:r>
        <w:rPr>
          <w:rFonts w:hint="eastAsia" w:eastAsia="仿宋_GB2312"/>
          <w:sz w:val="32"/>
          <w:szCs w:val="32"/>
        </w:rPr>
        <w:t>(5)必要时区自然资源局、区农业农村局、区林业局等部门可以提请区应急局，以区应急指挥机构名义部署相关防治工作。</w:t>
      </w:r>
    </w:p>
    <w:p>
      <w:pPr>
        <w:spacing w:line="600" w:lineRule="exact"/>
        <w:ind w:firstLine="645"/>
        <w:rPr>
          <w:rFonts w:hint="eastAsia" w:eastAsia="仿宋_GB2312"/>
          <w:sz w:val="32"/>
          <w:szCs w:val="32"/>
        </w:rPr>
      </w:pPr>
      <w:r>
        <w:rPr>
          <w:rFonts w:hint="eastAsia" w:eastAsia="仿宋_GB2312"/>
          <w:sz w:val="32"/>
          <w:szCs w:val="32"/>
        </w:rPr>
        <w:t>2.与区发展改革局在救灾物资储备方面的职责分工。</w:t>
      </w:r>
    </w:p>
    <w:p>
      <w:pPr>
        <w:spacing w:line="600" w:lineRule="exact"/>
        <w:ind w:firstLine="645"/>
        <w:rPr>
          <w:rFonts w:hint="eastAsia" w:eastAsia="仿宋_GB2312"/>
          <w:sz w:val="32"/>
          <w:szCs w:val="32"/>
        </w:rPr>
      </w:pPr>
      <w:r>
        <w:rPr>
          <w:rFonts w:hint="eastAsia" w:eastAsia="仿宋_GB2312"/>
          <w:sz w:val="32"/>
          <w:szCs w:val="32"/>
        </w:rPr>
        <w:t>(1)区应急局负责提出区级救灾抗灾物资的储备需求，负贲按权限提出中央、省市级下达和区级教灾物资的动用决策，组织编制区级敦灾抗灾物资储备规划、品种目录和标准， 全同区发展改革局等部门确定年度购置计划，根据需要下达动用指令。</w:t>
      </w:r>
    </w:p>
    <w:p>
      <w:pPr>
        <w:spacing w:line="600" w:lineRule="exact"/>
        <w:ind w:firstLine="645"/>
        <w:rPr>
          <w:rFonts w:hint="eastAsia" w:eastAsia="仿宋_GB2312"/>
          <w:sz w:val="32"/>
          <w:szCs w:val="32"/>
        </w:rPr>
      </w:pPr>
      <w:r>
        <w:rPr>
          <w:rFonts w:hint="eastAsia" w:eastAsia="仿宋_GB2312"/>
          <w:sz w:val="32"/>
          <w:szCs w:val="32"/>
        </w:rPr>
        <w:t>(2)区发展改革局根据区级救灾抗灾物资储备规划，品种目录和标准、年度购置计划，负责中央、省市级下达和区级救灾抗灾物资的收储、轮换和日常管理，根据区应急局的动用指令按程序组织调出。</w:t>
      </w:r>
    </w:p>
    <w:p>
      <w:pPr>
        <w:spacing w:line="600" w:lineRule="exact"/>
        <w:ind w:firstLine="645"/>
        <w:rPr>
          <w:rFonts w:hint="eastAsia" w:eastAsia="仿宋_GB2312"/>
          <w:sz w:val="32"/>
          <w:szCs w:val="32"/>
        </w:rPr>
      </w:pPr>
      <w:r>
        <w:rPr>
          <w:rFonts w:hint="eastAsia" w:eastAsia="仿宋_GB2312"/>
          <w:sz w:val="32"/>
          <w:szCs w:val="32"/>
        </w:rPr>
        <w:t>3.关于交通运输、铁路、水利、建筑和城市公用设施、民爆器材、邮政、通信、卫生、旅游、高危体育项目、特种设备、消防、宗教、农业机械等行业领域安全生产监督管理问题。公安、住建、发改、卫生健康、城管执法、交通运输、文化旅游、市场监管、消防、民族宗教事物、农业农村、商务等负有安全生产监督管理职责的部门负责本行业领域的安会生产监督管理工作;区应急局从综合监督管理全区安全生产工作的角度，指导协调和监督检查上述部门的安全生产监督管理工作。</w:t>
      </w:r>
    </w:p>
    <w:p>
      <w:pPr>
        <w:spacing w:line="600" w:lineRule="exact"/>
        <w:ind w:firstLine="645"/>
        <w:rPr>
          <w:rFonts w:hint="eastAsia" w:eastAsia="仿宋_GB2312"/>
          <w:sz w:val="32"/>
          <w:szCs w:val="32"/>
        </w:rPr>
      </w:pPr>
      <w:r>
        <w:rPr>
          <w:rFonts w:hint="eastAsia" w:eastAsia="仿宋_GB2312"/>
          <w:sz w:val="32"/>
          <w:szCs w:val="32"/>
        </w:rPr>
        <w:t>4.关于烟花爆竹安全监督管理的职责。区应急局负责监督管理烟花爆竹经营单位贯彻执行安全生产法律法规的情况，负责烟花爆竹经营单位安全条件审查和经营(零售)许可证发放工作，组织查处烟花爆竹生产安全事故</w:t>
      </w:r>
      <w:r>
        <w:rPr>
          <w:rFonts w:hint="eastAsia" w:eastAsia="仿宋_GB2312"/>
          <w:sz w:val="32"/>
          <w:szCs w:val="32"/>
          <w:lang w:eastAsia="zh-CN"/>
        </w:rPr>
        <w:t>；</w:t>
      </w:r>
      <w:r>
        <w:rPr>
          <w:rFonts w:hint="eastAsia" w:eastAsia="仿宋_GB2312"/>
          <w:sz w:val="32"/>
          <w:szCs w:val="32"/>
        </w:rPr>
        <w:t>区公安分局负责烟花爆竹道路运输许可证发放、烟花爆竹运输路线确定和管理烟花爆竹燃放等工作，会同有关部门建立联合执法机制，依法打击和取缔烟花爆竹非法生产、买卖、储存行为。</w:t>
      </w:r>
    </w:p>
    <w:p>
      <w:pPr>
        <w:widowControl/>
        <w:spacing w:line="600" w:lineRule="exact"/>
        <w:ind w:firstLine="630" w:firstLineChars="196"/>
        <w:jc w:val="left"/>
        <w:rPr>
          <w:rFonts w:eastAsia="楷体_GB2312"/>
          <w:b/>
          <w:sz w:val="32"/>
          <w:szCs w:val="32"/>
        </w:rPr>
      </w:pPr>
      <w:r>
        <w:rPr>
          <w:rFonts w:eastAsia="楷体_GB2312"/>
          <w:b/>
          <w:sz w:val="32"/>
          <w:szCs w:val="32"/>
        </w:rPr>
        <w:t>（二）机构设置情况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2021年末</w:t>
      </w:r>
      <w:r>
        <w:rPr>
          <w:rFonts w:ascii="Times New Roman" w:hAnsi="Times New Roman" w:eastAsia="仿宋_GB2312" w:cs="Times New Roman"/>
          <w:kern w:val="0"/>
          <w:sz w:val="32"/>
          <w:szCs w:val="32"/>
          <w:lang w:val="en-US" w:eastAsia="zh-CN" w:bidi="ar-SA"/>
        </w:rPr>
        <w:t>，我</w:t>
      </w:r>
      <w:r>
        <w:rPr>
          <w:rFonts w:hint="eastAsia" w:ascii="Times New Roman" w:hAnsi="Times New Roman" w:eastAsia="仿宋_GB2312" w:cs="Times New Roman"/>
          <w:kern w:val="0"/>
          <w:sz w:val="32"/>
          <w:szCs w:val="32"/>
          <w:lang w:val="en-US" w:eastAsia="zh-CN" w:bidi="ar-SA"/>
        </w:rPr>
        <w:t>局</w:t>
      </w:r>
      <w:r>
        <w:rPr>
          <w:rFonts w:ascii="Times New Roman" w:hAnsi="Times New Roman" w:eastAsia="仿宋_GB2312" w:cs="Times New Roman"/>
          <w:kern w:val="0"/>
          <w:sz w:val="32"/>
          <w:szCs w:val="32"/>
          <w:lang w:val="en-US" w:eastAsia="zh-CN" w:bidi="ar-SA"/>
        </w:rPr>
        <w:t>内设处室</w:t>
      </w:r>
      <w:r>
        <w:rPr>
          <w:rFonts w:hint="eastAsia" w:ascii="Times New Roman" w:hAnsi="Times New Roman" w:eastAsia="仿宋_GB2312" w:cs="Times New Roman"/>
          <w:kern w:val="0"/>
          <w:sz w:val="32"/>
          <w:szCs w:val="32"/>
          <w:lang w:val="en-US" w:eastAsia="zh-CN" w:bidi="ar-SA"/>
        </w:rPr>
        <w:t>8</w:t>
      </w:r>
      <w:r>
        <w:rPr>
          <w:rFonts w:ascii="Times New Roman" w:hAnsi="Times New Roman" w:eastAsia="仿宋_GB2312" w:cs="Times New Roman"/>
          <w:kern w:val="0"/>
          <w:sz w:val="32"/>
          <w:szCs w:val="32"/>
          <w:lang w:val="en-US" w:eastAsia="zh-CN" w:bidi="ar-SA"/>
        </w:rPr>
        <w:t>个，所属事业单位</w:t>
      </w:r>
      <w:r>
        <w:rPr>
          <w:rFonts w:hint="eastAsia" w:ascii="Times New Roman" w:hAnsi="Times New Roman" w:eastAsia="仿宋_GB2312" w:cs="Times New Roman"/>
          <w:kern w:val="0"/>
          <w:sz w:val="32"/>
          <w:szCs w:val="32"/>
          <w:lang w:val="en-US" w:eastAsia="zh-CN" w:bidi="ar-SA"/>
        </w:rPr>
        <w:t>2</w:t>
      </w:r>
      <w:r>
        <w:rPr>
          <w:rFonts w:ascii="Times New Roman" w:hAnsi="Times New Roman" w:eastAsia="仿宋_GB2312" w:cs="Times New Roman"/>
          <w:kern w:val="0"/>
          <w:sz w:val="32"/>
          <w:szCs w:val="32"/>
          <w:lang w:val="en-US" w:eastAsia="zh-CN" w:bidi="ar-SA"/>
        </w:rPr>
        <w:t>个。内设处室分别是</w:t>
      </w:r>
      <w:r>
        <w:rPr>
          <w:rFonts w:hint="eastAsia" w:ascii="Times New Roman" w:hAnsi="Times New Roman" w:eastAsia="仿宋_GB2312" w:cs="Times New Roman"/>
          <w:kern w:val="0"/>
          <w:sz w:val="32"/>
          <w:szCs w:val="32"/>
          <w:lang w:val="en-US" w:eastAsia="zh-CN" w:bidi="ar-SA"/>
        </w:rPr>
        <w:t>办公室、应急指挥中心（应急管理股）、政策法规股（行政审批服务股）、危险化学品安全监督管理股（烟花爆竹安全监督管理股）、非煤矿山和工贸行业安全监督管理股、安全生产综合协调股、火灾防治管理股、防汛抗旱股（地震地质灾害救援股）。</w:t>
      </w:r>
      <w:r>
        <w:rPr>
          <w:rFonts w:ascii="Times New Roman" w:hAnsi="Times New Roman" w:eastAsia="仿宋_GB2312" w:cs="Times New Roman"/>
          <w:kern w:val="0"/>
          <w:sz w:val="32"/>
          <w:szCs w:val="32"/>
          <w:lang w:val="en-US" w:eastAsia="zh-CN" w:bidi="ar-SA"/>
        </w:rPr>
        <w:t>所属事业单位分别是</w:t>
      </w:r>
      <w:r>
        <w:rPr>
          <w:rFonts w:hint="eastAsia" w:ascii="Times New Roman" w:hAnsi="Times New Roman" w:eastAsia="仿宋_GB2312" w:cs="Times New Roman"/>
          <w:kern w:val="0"/>
          <w:sz w:val="32"/>
          <w:szCs w:val="32"/>
          <w:lang w:val="en-US" w:eastAsia="zh-CN" w:bidi="ar-SA"/>
        </w:rPr>
        <w:t>南岳区安全生产行政执法大队、南岳区应急事务中心。</w:t>
      </w:r>
    </w:p>
    <w:p>
      <w:pPr>
        <w:widowControl/>
        <w:spacing w:line="600" w:lineRule="exact"/>
        <w:ind w:firstLine="630" w:firstLineChars="196"/>
        <w:jc w:val="left"/>
        <w:rPr>
          <w:rFonts w:eastAsia="楷体_GB2312"/>
          <w:b/>
          <w:sz w:val="32"/>
          <w:szCs w:val="32"/>
        </w:rPr>
      </w:pPr>
      <w:r>
        <w:rPr>
          <w:rFonts w:eastAsia="楷体_GB2312"/>
          <w:b/>
          <w:sz w:val="32"/>
          <w:szCs w:val="32"/>
        </w:rPr>
        <w:t>（三）人员编制情况</w:t>
      </w:r>
    </w:p>
    <w:p>
      <w:pPr>
        <w:numPr>
          <w:ilvl w:val="0"/>
          <w:numId w:val="0"/>
        </w:numPr>
        <w:ind w:firstLine="640" w:firstLineChars="200"/>
        <w:rPr>
          <w:rFonts w:hint="eastAsia" w:ascii="黑体" w:hAnsi="Times New Roman" w:eastAsia="黑体" w:cs="Times New Roman"/>
          <w:sz w:val="32"/>
          <w:szCs w:val="32"/>
        </w:rPr>
      </w:pPr>
      <w:r>
        <w:rPr>
          <w:rFonts w:eastAsia="仿宋_GB2312"/>
          <w:sz w:val="32"/>
          <w:szCs w:val="32"/>
        </w:rPr>
        <w:t>20</w:t>
      </w:r>
      <w:r>
        <w:rPr>
          <w:rFonts w:hint="eastAsia" w:eastAsia="仿宋_GB2312"/>
          <w:sz w:val="32"/>
          <w:szCs w:val="32"/>
          <w:lang w:val="en-US" w:eastAsia="zh-CN"/>
        </w:rPr>
        <w:t>21</w:t>
      </w:r>
      <w:r>
        <w:rPr>
          <w:rFonts w:eastAsia="仿宋_GB2312"/>
          <w:sz w:val="32"/>
          <w:szCs w:val="32"/>
        </w:rPr>
        <w:t>年末，我单位共有编制</w:t>
      </w:r>
      <w:r>
        <w:rPr>
          <w:rFonts w:hint="eastAsia" w:eastAsia="仿宋_GB2312"/>
          <w:sz w:val="32"/>
          <w:szCs w:val="32"/>
          <w:lang w:val="en-US" w:eastAsia="zh-CN"/>
        </w:rPr>
        <w:t>17</w:t>
      </w:r>
      <w:r>
        <w:rPr>
          <w:rFonts w:eastAsia="仿宋_GB2312"/>
          <w:sz w:val="32"/>
          <w:szCs w:val="32"/>
        </w:rPr>
        <w:t>人，其中行政编制</w:t>
      </w:r>
      <w:r>
        <w:rPr>
          <w:rFonts w:hint="eastAsia" w:eastAsia="仿宋_GB2312"/>
          <w:sz w:val="32"/>
          <w:szCs w:val="32"/>
          <w:lang w:val="en-US" w:eastAsia="zh-CN"/>
        </w:rPr>
        <w:t>7</w:t>
      </w:r>
      <w:r>
        <w:rPr>
          <w:rFonts w:eastAsia="仿宋_GB2312"/>
          <w:sz w:val="32"/>
          <w:szCs w:val="32"/>
        </w:rPr>
        <w:t>人，事业编制</w:t>
      </w:r>
      <w:r>
        <w:rPr>
          <w:rFonts w:hint="eastAsia" w:eastAsia="仿宋_GB2312"/>
          <w:sz w:val="32"/>
          <w:szCs w:val="32"/>
          <w:lang w:val="en-US" w:eastAsia="zh-CN"/>
        </w:rPr>
        <w:t>10</w:t>
      </w:r>
      <w:r>
        <w:rPr>
          <w:rFonts w:eastAsia="仿宋_GB2312"/>
          <w:sz w:val="32"/>
          <w:szCs w:val="32"/>
        </w:rPr>
        <w:t>人。年末实有在职人员</w:t>
      </w:r>
      <w:r>
        <w:rPr>
          <w:rFonts w:hint="eastAsia" w:eastAsia="仿宋_GB2312"/>
          <w:sz w:val="32"/>
          <w:szCs w:val="32"/>
          <w:lang w:val="en-US" w:eastAsia="zh-CN"/>
        </w:rPr>
        <w:t>16</w:t>
      </w:r>
      <w:r>
        <w:rPr>
          <w:rFonts w:eastAsia="仿宋_GB2312"/>
          <w:sz w:val="32"/>
          <w:szCs w:val="32"/>
        </w:rPr>
        <w:t>人，离休人员</w:t>
      </w:r>
      <w:r>
        <w:rPr>
          <w:rFonts w:hint="eastAsia" w:eastAsia="仿宋_GB2312"/>
          <w:sz w:val="32"/>
          <w:szCs w:val="32"/>
          <w:lang w:val="en-US" w:eastAsia="zh-CN"/>
        </w:rPr>
        <w:t>1</w:t>
      </w:r>
      <w:r>
        <w:rPr>
          <w:rFonts w:eastAsia="仿宋_GB2312"/>
          <w:sz w:val="32"/>
          <w:szCs w:val="32"/>
        </w:rPr>
        <w:t>人。</w:t>
      </w:r>
    </w:p>
    <w:p>
      <w:pPr>
        <w:widowControl/>
        <w:numPr>
          <w:ilvl w:val="0"/>
          <w:numId w:val="1"/>
        </w:num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widowControl/>
        <w:numPr>
          <w:ilvl w:val="0"/>
          <w:numId w:val="0"/>
        </w:numPr>
        <w:spacing w:line="60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（一）基本支出情况</w:t>
      </w:r>
    </w:p>
    <w:p>
      <w:pPr>
        <w:tabs>
          <w:tab w:val="left" w:pos="2296"/>
        </w:tabs>
        <w:spacing w:line="600" w:lineRule="exact"/>
        <w:ind w:firstLine="640" w:firstLineChars="200"/>
        <w:rPr>
          <w:rFonts w:eastAsia="仿宋_GB2312"/>
          <w:sz w:val="32"/>
          <w:szCs w:val="32"/>
        </w:rPr>
      </w:pPr>
      <w:r>
        <w:rPr>
          <w:rFonts w:eastAsia="仿宋_GB2312"/>
          <w:sz w:val="32"/>
          <w:szCs w:val="32"/>
        </w:rPr>
        <w:t>基本支出系保障我</w:t>
      </w:r>
      <w:r>
        <w:rPr>
          <w:rFonts w:hint="eastAsia" w:eastAsia="仿宋_GB2312"/>
          <w:sz w:val="32"/>
          <w:szCs w:val="32"/>
          <w:lang w:val="en-US" w:eastAsia="zh-CN"/>
        </w:rPr>
        <w:t>局</w:t>
      </w:r>
      <w:r>
        <w:rPr>
          <w:rFonts w:eastAsia="仿宋_GB2312"/>
          <w:sz w:val="32"/>
          <w:szCs w:val="32"/>
        </w:rPr>
        <w:t>机构正常运转、完成日常工作任务而发生的各项支出，包括用于在职和离退休人员基本工资、津贴补贴等人员经费以及办公费、印刷费、水电费、办公设备购置等日常公用经费。20</w:t>
      </w:r>
      <w:r>
        <w:rPr>
          <w:rFonts w:hint="eastAsia" w:eastAsia="仿宋_GB2312"/>
          <w:sz w:val="32"/>
          <w:szCs w:val="32"/>
          <w:lang w:val="en-US" w:eastAsia="zh-CN"/>
        </w:rPr>
        <w:t>21</w:t>
      </w:r>
      <w:r>
        <w:rPr>
          <w:rFonts w:eastAsia="仿宋_GB2312"/>
          <w:sz w:val="32"/>
          <w:szCs w:val="32"/>
        </w:rPr>
        <w:t>年基本支出</w:t>
      </w:r>
      <w:r>
        <w:rPr>
          <w:rFonts w:hint="eastAsia" w:eastAsia="仿宋_GB2312"/>
          <w:sz w:val="32"/>
          <w:szCs w:val="32"/>
          <w:lang w:val="en-US" w:eastAsia="zh-CN"/>
        </w:rPr>
        <w:t>206.91</w:t>
      </w:r>
      <w:r>
        <w:rPr>
          <w:rFonts w:eastAsia="仿宋_GB2312"/>
          <w:sz w:val="32"/>
          <w:szCs w:val="32"/>
        </w:rPr>
        <w:t>万元，较上年</w:t>
      </w:r>
      <w:r>
        <w:rPr>
          <w:rFonts w:hint="eastAsia" w:eastAsia="仿宋_GB2312"/>
          <w:sz w:val="32"/>
          <w:szCs w:val="32"/>
          <w:lang w:eastAsia="zh-CN"/>
        </w:rPr>
        <w:t>增加</w:t>
      </w:r>
      <w:r>
        <w:rPr>
          <w:rFonts w:hint="eastAsia" w:eastAsia="仿宋_GB2312"/>
          <w:sz w:val="32"/>
          <w:szCs w:val="32"/>
          <w:lang w:val="en-US" w:eastAsia="zh-CN"/>
        </w:rPr>
        <w:t>77.49</w:t>
      </w:r>
      <w:r>
        <w:rPr>
          <w:rFonts w:eastAsia="仿宋_GB2312"/>
          <w:sz w:val="32"/>
          <w:szCs w:val="32"/>
        </w:rPr>
        <w:t>万元。</w:t>
      </w:r>
      <w:r>
        <w:rPr>
          <w:rFonts w:eastAsia="仿宋_GB2312"/>
          <w:color w:val="000000"/>
          <w:sz w:val="32"/>
          <w:szCs w:val="32"/>
        </w:rPr>
        <w:t>基本支出中人员经费</w:t>
      </w:r>
      <w:r>
        <w:rPr>
          <w:rFonts w:hint="eastAsia" w:eastAsia="仿宋_GB2312"/>
          <w:color w:val="000000"/>
          <w:sz w:val="32"/>
          <w:szCs w:val="32"/>
          <w:lang w:val="en-US" w:eastAsia="zh-CN"/>
        </w:rPr>
        <w:t>175.08</w:t>
      </w:r>
      <w:r>
        <w:rPr>
          <w:rFonts w:eastAsia="仿宋_GB2312"/>
          <w:color w:val="000000"/>
          <w:sz w:val="32"/>
          <w:szCs w:val="32"/>
        </w:rPr>
        <w:t>万元，占基本支出的</w:t>
      </w:r>
      <w:r>
        <w:rPr>
          <w:rFonts w:hint="eastAsia" w:eastAsia="仿宋_GB2312"/>
          <w:color w:val="000000"/>
          <w:sz w:val="32"/>
          <w:szCs w:val="32"/>
          <w:lang w:val="en-US" w:eastAsia="zh-CN"/>
        </w:rPr>
        <w:t>85</w:t>
      </w:r>
      <w:r>
        <w:rPr>
          <w:rFonts w:eastAsia="仿宋_GB2312"/>
          <w:color w:val="000000"/>
          <w:sz w:val="32"/>
          <w:szCs w:val="32"/>
        </w:rPr>
        <w:t>%，</w:t>
      </w:r>
      <w:r>
        <w:rPr>
          <w:rFonts w:hint="eastAsia" w:eastAsia="仿宋_GB2312"/>
          <w:color w:val="000000"/>
          <w:sz w:val="32"/>
          <w:szCs w:val="32"/>
          <w:lang w:eastAsia="zh-CN"/>
        </w:rPr>
        <w:t>较上年增加</w:t>
      </w:r>
      <w:r>
        <w:rPr>
          <w:rFonts w:hint="eastAsia" w:eastAsia="仿宋_GB2312"/>
          <w:color w:val="000000"/>
          <w:sz w:val="32"/>
          <w:szCs w:val="32"/>
          <w:lang w:val="en-US" w:eastAsia="zh-CN"/>
        </w:rPr>
        <w:t>61.6%</w:t>
      </w:r>
      <w:r>
        <w:rPr>
          <w:rFonts w:hint="eastAsia" w:eastAsia="仿宋_GB2312"/>
          <w:color w:val="000000"/>
          <w:sz w:val="32"/>
          <w:szCs w:val="32"/>
          <w:lang w:eastAsia="zh-CN"/>
        </w:rPr>
        <w:t>；</w:t>
      </w:r>
      <w:r>
        <w:rPr>
          <w:rFonts w:eastAsia="仿宋_GB2312"/>
          <w:color w:val="000000"/>
          <w:sz w:val="32"/>
          <w:szCs w:val="32"/>
        </w:rPr>
        <w:t>日常公用经费</w:t>
      </w:r>
      <w:r>
        <w:rPr>
          <w:rFonts w:hint="eastAsia" w:eastAsia="仿宋_GB2312"/>
          <w:color w:val="000000"/>
          <w:sz w:val="32"/>
          <w:szCs w:val="32"/>
          <w:lang w:val="en-US" w:eastAsia="zh-CN"/>
        </w:rPr>
        <w:t>31.83</w:t>
      </w:r>
      <w:r>
        <w:rPr>
          <w:rFonts w:eastAsia="仿宋_GB2312"/>
          <w:color w:val="000000"/>
          <w:sz w:val="32"/>
          <w:szCs w:val="32"/>
        </w:rPr>
        <w:t>万元，占基本支出的</w:t>
      </w:r>
      <w:r>
        <w:rPr>
          <w:rFonts w:hint="eastAsia" w:eastAsia="仿宋_GB2312"/>
          <w:color w:val="000000"/>
          <w:sz w:val="32"/>
          <w:szCs w:val="32"/>
          <w:lang w:val="en-US" w:eastAsia="zh-CN"/>
        </w:rPr>
        <w:t>15</w:t>
      </w:r>
      <w:r>
        <w:rPr>
          <w:rFonts w:eastAsia="仿宋_GB2312"/>
          <w:color w:val="000000"/>
          <w:sz w:val="32"/>
          <w:szCs w:val="32"/>
        </w:rPr>
        <w:t>%，较上年</w:t>
      </w:r>
      <w:r>
        <w:rPr>
          <w:rFonts w:hint="eastAsia" w:eastAsia="仿宋_GB2312"/>
          <w:color w:val="000000"/>
          <w:sz w:val="32"/>
          <w:szCs w:val="32"/>
          <w:lang w:eastAsia="zh-CN"/>
        </w:rPr>
        <w:t>增加</w:t>
      </w:r>
      <w:r>
        <w:rPr>
          <w:rFonts w:hint="eastAsia" w:eastAsia="仿宋_GB2312"/>
          <w:color w:val="000000"/>
          <w:sz w:val="32"/>
          <w:szCs w:val="32"/>
          <w:lang w:val="en-US" w:eastAsia="zh-CN"/>
        </w:rPr>
        <w:t>51</w:t>
      </w:r>
      <w:r>
        <w:rPr>
          <w:rFonts w:eastAsia="仿宋_GB2312"/>
          <w:color w:val="000000"/>
          <w:sz w:val="32"/>
          <w:szCs w:val="32"/>
        </w:rPr>
        <w:t>%</w:t>
      </w:r>
      <w:r>
        <w:rPr>
          <w:rFonts w:hint="eastAsia" w:eastAsia="仿宋_GB2312"/>
          <w:color w:val="000000"/>
          <w:sz w:val="32"/>
          <w:szCs w:val="32"/>
          <w:lang w:eastAsia="zh-CN"/>
        </w:rPr>
        <w:t>，主要原因是</w:t>
      </w:r>
      <w:r>
        <w:rPr>
          <w:rFonts w:hint="eastAsia" w:eastAsia="仿宋_GB2312"/>
          <w:color w:val="000000"/>
          <w:sz w:val="32"/>
          <w:szCs w:val="32"/>
          <w:lang w:val="en-US" w:eastAsia="zh-CN"/>
        </w:rPr>
        <w:t>机构改革，职能划转，人员增多。</w:t>
      </w:r>
    </w:p>
    <w:p>
      <w:pPr>
        <w:widowControl/>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w:t>
      </w:r>
      <w:r>
        <w:rPr>
          <w:rFonts w:ascii="楷体_GB2312" w:hAnsi="Times New Roman" w:eastAsia="楷体_GB2312" w:cs="Times New Roman"/>
          <w:b/>
          <w:sz w:val="32"/>
          <w:szCs w:val="32"/>
        </w:rPr>
        <w:t>项目支出情况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kern w:val="0"/>
          <w:sz w:val="32"/>
          <w:szCs w:val="32"/>
          <w:lang w:val="en-US" w:eastAsia="zh-CN" w:bidi="ar-SA"/>
        </w:rPr>
      </w:pPr>
      <w:bookmarkStart w:id="0" w:name="_GoBack"/>
      <w:r>
        <w:rPr>
          <w:rFonts w:ascii="Times New Roman" w:hAnsi="Times New Roman" w:eastAsia="仿宋_GB2312" w:cs="Times New Roman"/>
          <w:kern w:val="0"/>
          <w:sz w:val="32"/>
          <w:szCs w:val="32"/>
          <w:lang w:val="en-US" w:eastAsia="zh-CN" w:bidi="ar-SA"/>
        </w:rPr>
        <w:t>项目支出系我</w:t>
      </w:r>
      <w:r>
        <w:rPr>
          <w:rFonts w:hint="eastAsia" w:ascii="Times New Roman" w:hAnsi="Times New Roman" w:eastAsia="仿宋_GB2312" w:cs="Times New Roman"/>
          <w:kern w:val="0"/>
          <w:sz w:val="32"/>
          <w:szCs w:val="32"/>
          <w:lang w:val="en-US" w:eastAsia="zh-CN" w:bidi="ar-SA"/>
        </w:rPr>
        <w:t>局</w:t>
      </w:r>
      <w:r>
        <w:rPr>
          <w:rFonts w:ascii="Times New Roman" w:hAnsi="Times New Roman" w:eastAsia="仿宋_GB2312" w:cs="Times New Roman"/>
          <w:kern w:val="0"/>
          <w:sz w:val="32"/>
          <w:szCs w:val="32"/>
          <w:lang w:val="en-US" w:eastAsia="zh-CN" w:bidi="ar-SA"/>
        </w:rPr>
        <w:t>为完成</w:t>
      </w:r>
      <w:r>
        <w:rPr>
          <w:rFonts w:hint="eastAsia" w:ascii="Times New Roman" w:hAnsi="Times New Roman" w:eastAsia="仿宋_GB2312" w:cs="Times New Roman"/>
          <w:kern w:val="0"/>
          <w:sz w:val="32"/>
          <w:szCs w:val="32"/>
          <w:lang w:val="en-US" w:eastAsia="zh-CN" w:bidi="ar-SA"/>
        </w:rPr>
        <w:t>安全生产</w:t>
      </w:r>
      <w:r>
        <w:rPr>
          <w:rFonts w:ascii="Times New Roman" w:hAnsi="Times New Roman" w:eastAsia="仿宋_GB2312" w:cs="Times New Roman"/>
          <w:kern w:val="0"/>
          <w:sz w:val="32"/>
          <w:szCs w:val="32"/>
          <w:lang w:val="en-US" w:eastAsia="zh-CN" w:bidi="ar-SA"/>
        </w:rPr>
        <w:t>管理工作而发生的支出，包括行业务工作经费和运行维护经费。业务工作经费支出主要用于</w:t>
      </w:r>
      <w:r>
        <w:rPr>
          <w:rFonts w:hint="eastAsia" w:ascii="Times New Roman" w:hAnsi="Times New Roman" w:eastAsia="仿宋_GB2312" w:cs="Times New Roman"/>
          <w:kern w:val="0"/>
          <w:sz w:val="32"/>
          <w:szCs w:val="32"/>
          <w:lang w:val="en-US" w:eastAsia="zh-CN" w:bidi="ar-SA"/>
        </w:rPr>
        <w:t>安委办、防汛抗旱、隐患治理、安全生产三年整治行动等一般行政管理事务、灾害风险防治、安全监管、应急管理</w:t>
      </w:r>
      <w:r>
        <w:rPr>
          <w:rFonts w:ascii="Times New Roman" w:hAnsi="Times New Roman" w:eastAsia="仿宋_GB2312" w:cs="Times New Roman"/>
          <w:kern w:val="0"/>
          <w:sz w:val="32"/>
          <w:szCs w:val="32"/>
          <w:lang w:val="en-US" w:eastAsia="zh-CN" w:bidi="ar-SA"/>
        </w:rPr>
        <w:t>和</w:t>
      </w:r>
      <w:r>
        <w:rPr>
          <w:rFonts w:hint="eastAsia" w:ascii="Times New Roman" w:hAnsi="Times New Roman" w:eastAsia="仿宋_GB2312" w:cs="Times New Roman"/>
          <w:kern w:val="0"/>
          <w:sz w:val="32"/>
          <w:szCs w:val="32"/>
          <w:lang w:val="en-US" w:eastAsia="zh-CN" w:bidi="ar-SA"/>
        </w:rPr>
        <w:t>林业草原防灾减灾</w:t>
      </w:r>
      <w:r>
        <w:rPr>
          <w:rFonts w:ascii="Times New Roman" w:hAnsi="Times New Roman" w:eastAsia="仿宋_GB2312" w:cs="Times New Roman"/>
          <w:kern w:val="0"/>
          <w:sz w:val="32"/>
          <w:szCs w:val="32"/>
          <w:lang w:val="en-US" w:eastAsia="zh-CN" w:bidi="ar-SA"/>
        </w:rPr>
        <w:t>等方面。20</w:t>
      </w:r>
      <w:r>
        <w:rPr>
          <w:rFonts w:hint="eastAsia" w:ascii="Times New Roman" w:hAnsi="Times New Roman" w:eastAsia="仿宋_GB2312" w:cs="Times New Roman"/>
          <w:kern w:val="0"/>
          <w:sz w:val="32"/>
          <w:szCs w:val="32"/>
          <w:lang w:val="en-US" w:eastAsia="zh-CN" w:bidi="ar-SA"/>
        </w:rPr>
        <w:t>21</w:t>
      </w:r>
      <w:r>
        <w:rPr>
          <w:rFonts w:ascii="Times New Roman" w:hAnsi="Times New Roman" w:eastAsia="仿宋_GB2312" w:cs="Times New Roman"/>
          <w:kern w:val="0"/>
          <w:sz w:val="32"/>
          <w:szCs w:val="32"/>
          <w:lang w:val="en-US" w:eastAsia="zh-CN" w:bidi="ar-SA"/>
        </w:rPr>
        <w:t>年项目支出</w:t>
      </w:r>
      <w:r>
        <w:rPr>
          <w:rFonts w:hint="eastAsia" w:ascii="Times New Roman" w:hAnsi="Times New Roman" w:eastAsia="仿宋_GB2312" w:cs="Times New Roman"/>
          <w:kern w:val="0"/>
          <w:sz w:val="32"/>
          <w:szCs w:val="32"/>
          <w:lang w:val="en-US" w:eastAsia="zh-CN" w:bidi="ar-SA"/>
        </w:rPr>
        <w:t>189.47</w:t>
      </w:r>
      <w:r>
        <w:rPr>
          <w:rFonts w:ascii="Times New Roman" w:hAnsi="Times New Roman" w:eastAsia="仿宋_GB2312" w:cs="Times New Roman"/>
          <w:kern w:val="0"/>
          <w:sz w:val="32"/>
          <w:szCs w:val="32"/>
          <w:lang w:val="en-US" w:eastAsia="zh-CN" w:bidi="ar-SA"/>
        </w:rPr>
        <w:t>万元，比上年</w:t>
      </w:r>
      <w:r>
        <w:rPr>
          <w:rFonts w:hint="eastAsia" w:ascii="Times New Roman" w:hAnsi="Times New Roman" w:eastAsia="仿宋_GB2312" w:cs="Times New Roman"/>
          <w:kern w:val="0"/>
          <w:sz w:val="32"/>
          <w:szCs w:val="32"/>
          <w:lang w:val="en-US" w:eastAsia="zh-CN" w:bidi="ar-SA"/>
        </w:rPr>
        <w:t>增加22.44</w:t>
      </w:r>
      <w:r>
        <w:rPr>
          <w:rFonts w:ascii="Times New Roman" w:hAnsi="Times New Roman" w:eastAsia="仿宋_GB2312" w:cs="Times New Roman"/>
          <w:kern w:val="0"/>
          <w:sz w:val="32"/>
          <w:szCs w:val="32"/>
          <w:lang w:val="en-US" w:eastAsia="zh-CN" w:bidi="ar-SA"/>
        </w:rPr>
        <w:t>万元</w:t>
      </w:r>
      <w:r>
        <w:rPr>
          <w:rFonts w:hint="eastAsia" w:ascii="Times New Roman" w:hAnsi="Times New Roman" w:eastAsia="仿宋_GB2312" w:cs="Times New Roman"/>
          <w:kern w:val="0"/>
          <w:sz w:val="32"/>
          <w:szCs w:val="32"/>
          <w:lang w:val="en-US" w:eastAsia="zh-CN" w:bidi="ar-SA"/>
        </w:rPr>
        <w:t>，其中：主要用于一般行政管理事务方面（安委办、防汛抗旱、隐患治理、安全生产三年整治行动等）74.01万元</w:t>
      </w:r>
      <w:r>
        <w:rPr>
          <w:rFonts w:ascii="Times New Roman" w:hAnsi="Times New Roman" w:eastAsia="仿宋_GB2312" w:cs="Times New Roman"/>
          <w:kern w:val="0"/>
          <w:sz w:val="32"/>
          <w:szCs w:val="32"/>
          <w:lang w:val="en-US" w:eastAsia="zh-CN" w:bidi="ar-SA"/>
        </w:rPr>
        <w:t>，比上年</w:t>
      </w:r>
      <w:r>
        <w:rPr>
          <w:rFonts w:hint="eastAsia" w:ascii="Times New Roman" w:hAnsi="Times New Roman" w:eastAsia="仿宋_GB2312" w:cs="Times New Roman"/>
          <w:kern w:val="0"/>
          <w:sz w:val="32"/>
          <w:szCs w:val="32"/>
          <w:lang w:val="en-US" w:eastAsia="zh-CN" w:bidi="ar-SA"/>
        </w:rPr>
        <w:t>减少18.86</w:t>
      </w:r>
      <w:r>
        <w:rPr>
          <w:rFonts w:ascii="Times New Roman" w:hAnsi="Times New Roman" w:eastAsia="仿宋_GB2312" w:cs="Times New Roman"/>
          <w:kern w:val="0"/>
          <w:sz w:val="32"/>
          <w:szCs w:val="32"/>
          <w:lang w:val="en-US" w:eastAsia="zh-CN" w:bidi="ar-SA"/>
        </w:rPr>
        <w:t>万元</w:t>
      </w:r>
      <w:r>
        <w:rPr>
          <w:rFonts w:hint="eastAsia" w:ascii="Times New Roman" w:hAnsi="Times New Roman" w:eastAsia="仿宋_GB2312" w:cs="Times New Roman"/>
          <w:kern w:val="0"/>
          <w:sz w:val="32"/>
          <w:szCs w:val="32"/>
          <w:lang w:val="en-US" w:eastAsia="zh-CN" w:bidi="ar-SA"/>
        </w:rPr>
        <w:t>；用于灾害风险防治方面26.7万元；用于安全监管方面7万元；用于应急管理方面15.5万元;用于林业草原防灾减灾方面66.26万元，机构改革后，新增加的业务。</w:t>
      </w:r>
      <w:bookmarkEnd w:id="0"/>
    </w:p>
    <w:p>
      <w:pPr>
        <w:widowControl/>
        <w:numPr>
          <w:ilvl w:val="0"/>
          <w:numId w:val="0"/>
        </w:numPr>
        <w:spacing w:line="600" w:lineRule="exact"/>
        <w:ind w:leftChars="0"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pStyle w:val="14"/>
        <w:keepNext w:val="0"/>
        <w:keepLines w:val="0"/>
        <w:pageBreakBefore w:val="0"/>
        <w:kinsoku/>
        <w:wordWrap/>
        <w:overflowPunct/>
        <w:topLinePunct w:val="0"/>
        <w:bidi w:val="0"/>
        <w:spacing w:line="560" w:lineRule="exact"/>
        <w:ind w:firstLine="640" w:firstLineChars="200"/>
        <w:textAlignment w:val="auto"/>
        <w:rPr>
          <w:rFonts w:ascii="Times New Roman" w:hAnsi="Times New Roman" w:eastAsia="仿宋_GB2312"/>
          <w:sz w:val="32"/>
          <w:szCs w:val="32"/>
        </w:rPr>
      </w:pPr>
      <w:r>
        <w:rPr>
          <w:rFonts w:hint="eastAsia" w:ascii="仿宋_GB2312" w:eastAsia="仿宋_GB2312"/>
          <w:sz w:val="32"/>
          <w:szCs w:val="32"/>
          <w:lang w:val="en-US" w:eastAsia="zh-CN"/>
        </w:rPr>
        <w:t>2021年，</w:t>
      </w:r>
      <w:r>
        <w:rPr>
          <w:rFonts w:hint="eastAsia" w:ascii="仿宋_GB2312" w:eastAsia="仿宋_GB2312"/>
          <w:sz w:val="32"/>
          <w:szCs w:val="32"/>
        </w:rPr>
        <w:t>我区坚持以习近平总书记关于安全生产重要论述为指导，全面落实国、省、市关于安全生产决策部署，紧紧</w:t>
      </w:r>
      <w:r>
        <w:rPr>
          <w:rFonts w:hint="eastAsia" w:ascii="仿宋_GB2312" w:eastAsia="仿宋_GB2312"/>
          <w:bCs/>
          <w:sz w:val="32"/>
          <w:szCs w:val="32"/>
        </w:rPr>
        <w:t>围绕“从根本上消除事故隐患”“从根本上解决问题”，</w:t>
      </w:r>
      <w:r>
        <w:rPr>
          <w:rFonts w:hint="eastAsia" w:ascii="仿宋_GB2312" w:eastAsia="仿宋_GB2312"/>
          <w:sz w:val="32"/>
          <w:szCs w:val="32"/>
        </w:rPr>
        <w:t>扎实开展安全生产专项整治三年行动，完善和落实安全生产责任制，全力织密织牢安全防控网络，切实加强安全监管执法，铁腕推进“打非治违”，有效防范化解重大安全风险，本质安全水平稳步提升</w:t>
      </w:r>
      <w:r>
        <w:rPr>
          <w:rFonts w:hint="eastAsia" w:ascii="仿宋_GB2312" w:eastAsia="仿宋_GB2312"/>
          <w:bCs/>
          <w:sz w:val="32"/>
          <w:szCs w:val="32"/>
        </w:rPr>
        <w:t>。截至目前，</w:t>
      </w:r>
      <w:r>
        <w:rPr>
          <w:rFonts w:hint="eastAsia" w:ascii="仿宋_GB2312" w:eastAsia="仿宋_GB2312"/>
          <w:sz w:val="32"/>
          <w:szCs w:val="32"/>
        </w:rPr>
        <w:t>全区安全生产形势持续稳定，连续四年保持了生产安全事故、火灾亡人事故和自然灾害亡人事故“零”发生。为“十四五”开好局起好步、奋力推进“五区”建设打下了坚实的安全基础。</w:t>
      </w:r>
      <w:r>
        <w:rPr>
          <w:rFonts w:eastAsia="仿宋_GB2312"/>
          <w:sz w:val="32"/>
          <w:szCs w:val="32"/>
        </w:rPr>
        <w:t>20</w:t>
      </w:r>
      <w:r>
        <w:rPr>
          <w:rFonts w:hint="eastAsia" w:eastAsia="仿宋_GB2312"/>
          <w:sz w:val="32"/>
          <w:szCs w:val="32"/>
          <w:lang w:val="en-US" w:eastAsia="zh-CN"/>
        </w:rPr>
        <w:t>21</w:t>
      </w:r>
      <w:r>
        <w:rPr>
          <w:rFonts w:eastAsia="仿宋_GB2312"/>
          <w:sz w:val="32"/>
          <w:szCs w:val="32"/>
        </w:rPr>
        <w:t>年基本支出</w:t>
      </w:r>
      <w:r>
        <w:rPr>
          <w:rFonts w:hint="eastAsia" w:eastAsia="仿宋_GB2312"/>
          <w:sz w:val="32"/>
          <w:szCs w:val="32"/>
          <w:lang w:val="en-US" w:eastAsia="zh-CN"/>
        </w:rPr>
        <w:t>206.91</w:t>
      </w:r>
      <w:r>
        <w:rPr>
          <w:rFonts w:eastAsia="仿宋_GB2312"/>
          <w:sz w:val="32"/>
          <w:szCs w:val="32"/>
        </w:rPr>
        <w:t>万元，较上年</w:t>
      </w:r>
      <w:r>
        <w:rPr>
          <w:rFonts w:hint="eastAsia" w:eastAsia="仿宋_GB2312"/>
          <w:sz w:val="32"/>
          <w:szCs w:val="32"/>
          <w:lang w:eastAsia="zh-CN"/>
        </w:rPr>
        <w:t>增加</w:t>
      </w:r>
      <w:r>
        <w:rPr>
          <w:rFonts w:hint="eastAsia" w:eastAsia="仿宋_GB2312"/>
          <w:sz w:val="32"/>
          <w:szCs w:val="32"/>
          <w:lang w:val="en-US" w:eastAsia="zh-CN"/>
        </w:rPr>
        <w:t>77.49</w:t>
      </w:r>
      <w:r>
        <w:rPr>
          <w:rFonts w:eastAsia="仿宋_GB2312"/>
          <w:sz w:val="32"/>
          <w:szCs w:val="32"/>
        </w:rPr>
        <w:t>万元。</w:t>
      </w:r>
      <w:r>
        <w:rPr>
          <w:rFonts w:ascii="Times New Roman" w:hAnsi="Times New Roman" w:eastAsia="仿宋_GB2312" w:cs="Times New Roman"/>
          <w:kern w:val="0"/>
          <w:sz w:val="32"/>
          <w:szCs w:val="32"/>
          <w:lang w:val="en-US" w:eastAsia="zh-CN" w:bidi="ar-SA"/>
        </w:rPr>
        <w:t>项目支出</w:t>
      </w:r>
      <w:r>
        <w:rPr>
          <w:rFonts w:hint="eastAsia" w:ascii="Times New Roman" w:hAnsi="Times New Roman" w:eastAsia="仿宋_GB2312" w:cs="Times New Roman"/>
          <w:kern w:val="0"/>
          <w:sz w:val="32"/>
          <w:szCs w:val="32"/>
          <w:lang w:val="en-US" w:eastAsia="zh-CN" w:bidi="ar-SA"/>
        </w:rPr>
        <w:t>189.47</w:t>
      </w:r>
      <w:r>
        <w:rPr>
          <w:rFonts w:ascii="Times New Roman" w:hAnsi="Times New Roman" w:eastAsia="仿宋_GB2312" w:cs="Times New Roman"/>
          <w:kern w:val="0"/>
          <w:sz w:val="32"/>
          <w:szCs w:val="32"/>
          <w:lang w:val="en-US" w:eastAsia="zh-CN" w:bidi="ar-SA"/>
        </w:rPr>
        <w:t>万元，比上年</w:t>
      </w:r>
      <w:r>
        <w:rPr>
          <w:rFonts w:hint="eastAsia" w:ascii="Times New Roman" w:hAnsi="Times New Roman" w:eastAsia="仿宋_GB2312" w:cs="Times New Roman"/>
          <w:kern w:val="0"/>
          <w:sz w:val="32"/>
          <w:szCs w:val="32"/>
          <w:lang w:val="en-US" w:eastAsia="zh-CN" w:bidi="ar-SA"/>
        </w:rPr>
        <w:t>增加22.44</w:t>
      </w:r>
      <w:r>
        <w:rPr>
          <w:rFonts w:ascii="Times New Roman" w:hAnsi="Times New Roman" w:eastAsia="仿宋_GB2312" w:cs="Times New Roman"/>
          <w:kern w:val="0"/>
          <w:sz w:val="32"/>
          <w:szCs w:val="32"/>
          <w:lang w:val="en-US" w:eastAsia="zh-CN" w:bidi="ar-SA"/>
        </w:rPr>
        <w:t>万元</w:t>
      </w:r>
      <w:r>
        <w:rPr>
          <w:rFonts w:hint="eastAsia" w:eastAsia="仿宋_GB2312" w:cs="Times New Roman"/>
          <w:kern w:val="0"/>
          <w:sz w:val="32"/>
          <w:szCs w:val="32"/>
          <w:lang w:val="en-US" w:eastAsia="zh-CN" w:bidi="ar-SA"/>
        </w:rPr>
        <w:t>。</w:t>
      </w:r>
    </w:p>
    <w:p>
      <w:pPr>
        <w:keepNext w:val="0"/>
        <w:keepLines w:val="0"/>
        <w:pageBreakBefore w:val="0"/>
        <w:kinsoku/>
        <w:wordWrap/>
        <w:overflowPunct/>
        <w:topLinePunct w:val="0"/>
        <w:bidi w:val="0"/>
        <w:adjustRightInd w:val="0"/>
        <w:snapToGrid w:val="0"/>
        <w:spacing w:line="560" w:lineRule="exact"/>
        <w:ind w:firstLine="707" w:firstLineChars="221"/>
        <w:textAlignment w:val="auto"/>
        <w:rPr>
          <w:rFonts w:ascii="黑体" w:hAnsi="黑体" w:eastAsia="黑体" w:cs="Times New Roman"/>
          <w:sz w:val="32"/>
          <w:szCs w:val="32"/>
        </w:rPr>
      </w:pPr>
      <w:r>
        <w:rPr>
          <w:rFonts w:hint="eastAsia" w:ascii="黑体" w:hAnsi="黑体" w:eastAsia="黑体" w:cs="Times New Roman"/>
          <w:sz w:val="32"/>
          <w:szCs w:val="32"/>
          <w:lang w:eastAsia="zh-CN"/>
        </w:rPr>
        <w:t>（一）</w:t>
      </w:r>
      <w:r>
        <w:rPr>
          <w:rFonts w:hint="eastAsia" w:ascii="黑体" w:hAnsi="黑体" w:eastAsia="黑体" w:cs="Times New Roman"/>
          <w:sz w:val="32"/>
          <w:szCs w:val="32"/>
        </w:rPr>
        <w:t>坚持锚定目标，牢牢把握安全生产基本盘</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ascii="仿宋_GB2312" w:hAnsi="Times New Roman" w:eastAsia="仿宋_GB2312" w:cs="Times New Roman"/>
          <w:b/>
          <w:bCs/>
          <w:sz w:val="32"/>
          <w:szCs w:val="32"/>
        </w:rPr>
      </w:pPr>
      <w:r>
        <w:rPr>
          <w:rFonts w:hint="eastAsia" w:ascii="楷体" w:hAnsi="楷体" w:eastAsia="楷体"/>
          <w:b/>
          <w:bCs/>
          <w:sz w:val="32"/>
          <w:szCs w:val="32"/>
          <w:lang w:val="en-US" w:eastAsia="zh-CN"/>
        </w:rPr>
        <w:t>1.</w:t>
      </w:r>
      <w:r>
        <w:rPr>
          <w:rFonts w:hint="eastAsia" w:ascii="楷体" w:hAnsi="楷体" w:eastAsia="楷体" w:cs="Times New Roman"/>
          <w:b/>
          <w:bCs/>
          <w:kern w:val="0"/>
          <w:sz w:val="32"/>
          <w:szCs w:val="32"/>
        </w:rPr>
        <w:t>突出风险管控，预防效果更加显著。</w:t>
      </w:r>
      <w:r>
        <w:rPr>
          <w:rFonts w:hint="eastAsia" w:ascii="仿宋_GB2312" w:hAnsi="Times New Roman" w:eastAsia="仿宋_GB2312" w:cs="Times New Roman"/>
          <w:b/>
          <w:bCs/>
          <w:sz w:val="32"/>
          <w:szCs w:val="32"/>
        </w:rPr>
        <w:t>一是坚决打好三年行动攻坚战。</w:t>
      </w:r>
      <w:r>
        <w:rPr>
          <w:rFonts w:hint="eastAsia" w:ascii="仿宋_GB2312" w:hAnsi="Times New Roman" w:eastAsia="仿宋_GB2312" w:cs="Times New Roman"/>
          <w:color w:val="000000" w:themeColor="text1"/>
          <w:sz w:val="32"/>
          <w:szCs w:val="32"/>
          <w:shd w:val="clear" w:color="auto" w:fill="FFFFFF"/>
          <w14:textFill>
            <w14:solidFill>
              <w14:schemeClr w14:val="tx1"/>
            </w14:solidFill>
          </w14:textFill>
        </w:rPr>
        <w:t>印发《安全生产领域“打非治违”三年行动实施方案》《推进安全生产专项整治三年行动集中攻坚方案》，严格落实省市要求，成立工作专班，保障三年行动人员到位、经费到位，并派出督查组对各乡镇街道和各专项整治牵头部门进行督查调度。截至10月底，排查重大安全隐患3处（已全部整改），一般安全隐患784处，行政处罚83次，责令停产整顿15家，关闭取缔1家，罚款54.57万元，警示约谈8次。</w:t>
      </w:r>
      <w:r>
        <w:rPr>
          <w:rFonts w:hint="eastAsia" w:ascii="仿宋_GB2312" w:hAnsi="Times New Roman" w:eastAsia="仿宋_GB2312" w:cs="Times New Roman"/>
          <w:b/>
          <w:bCs/>
          <w:sz w:val="32"/>
          <w:szCs w:val="32"/>
        </w:rPr>
        <w:t>二是坚决打赢特护期安全生产保卫战。</w:t>
      </w:r>
      <w:r>
        <w:rPr>
          <w:rFonts w:hint="eastAsia" w:ascii="仿宋_GB2312" w:hAnsi="Times New Roman" w:eastAsia="仿宋_GB2312" w:cs="Times New Roman"/>
          <w:sz w:val="32"/>
          <w:szCs w:val="32"/>
        </w:rPr>
        <w:t>针对</w:t>
      </w:r>
      <w:r>
        <w:rPr>
          <w:rFonts w:hint="eastAsia" w:ascii="仿宋_GB2312" w:hAnsi="Times New Roman" w:eastAsia="仿宋_GB2312" w:cs="Times New Roman"/>
          <w:color w:val="000000"/>
          <w:sz w:val="32"/>
          <w:szCs w:val="32"/>
        </w:rPr>
        <w:t>元旦、春节、五一、中秋、国庆等节假日、黄道吉日、香期旺季以及建党100周年特护期的重要节点，区委区政府均组织召开专题会议研究部署安全防范工作，制定《旅游组织暨安全保卫工作方案》。为应对客流高峰，我区对各重点路段实行交通管制，并通过视频监控系统，对景区人流、车流进行实时监测，合理调度、及时分流；安排上千名机关工作人员和“衡阳群众”志愿者到各重要路口、重点地段值班执勤，做好安全防范、旅游组织工作，全力保障来岳游客安全。</w:t>
      </w:r>
    </w:p>
    <w:p>
      <w:pPr>
        <w:keepNext w:val="0"/>
        <w:keepLines w:val="0"/>
        <w:pageBreakBefore w:val="0"/>
        <w:kinsoku/>
        <w:wordWrap/>
        <w:overflowPunct/>
        <w:topLinePunct w:val="0"/>
        <w:bidi w:val="0"/>
        <w:adjustRightInd w:val="0"/>
        <w:snapToGrid w:val="0"/>
        <w:spacing w:line="560" w:lineRule="exact"/>
        <w:ind w:firstLine="710" w:firstLineChars="221"/>
        <w:textAlignment w:val="auto"/>
        <w:rPr>
          <w:rFonts w:ascii="仿宋_GB2312" w:hAnsi="Times New Roman" w:eastAsia="仿宋_GB2312" w:cs="Times New Roman"/>
          <w:color w:val="000000"/>
          <w:sz w:val="32"/>
          <w:szCs w:val="32"/>
        </w:rPr>
      </w:pPr>
      <w:r>
        <w:rPr>
          <w:rFonts w:hint="eastAsia" w:ascii="楷体" w:hAnsi="楷体" w:eastAsia="楷体" w:cs="Times New Roman"/>
          <w:b/>
          <w:bCs/>
          <w:kern w:val="0"/>
          <w:sz w:val="32"/>
          <w:szCs w:val="32"/>
          <w:lang w:val="en-US" w:eastAsia="zh-CN"/>
        </w:rPr>
        <w:t>2.</w:t>
      </w:r>
      <w:r>
        <w:rPr>
          <w:rFonts w:hint="eastAsia" w:ascii="楷体" w:hAnsi="楷体" w:eastAsia="楷体" w:cs="Times New Roman"/>
          <w:b/>
          <w:bCs/>
          <w:kern w:val="0"/>
          <w:sz w:val="32"/>
          <w:szCs w:val="32"/>
        </w:rPr>
        <w:t>突出行政执法，法治理念更加强化。</w:t>
      </w:r>
      <w:r>
        <w:rPr>
          <w:rFonts w:hint="eastAsia" w:ascii="仿宋_GB2312" w:hAnsi="Times New Roman" w:eastAsia="仿宋_GB2312" w:cs="Times New Roman"/>
          <w:color w:val="000000"/>
          <w:sz w:val="32"/>
          <w:szCs w:val="32"/>
        </w:rPr>
        <w:t>持续推进以预防事故为目的，以三年行动为重点，以加强监管执法为主线的安全监管“强执法防事故”专项行动。区应急管理、交通运输、住建、消防、交警、农业农村、自然资源、市场监管等部门强力开展安全监管执法行动，共出动执法人员3800余人次，检查执法对象3286家次，查处各类违法违规行为30128起，立案调查42起，经济处罚162.5万元。</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hint="eastAsia" w:ascii="仿宋_GB2312" w:hAnsi="Times New Roman" w:eastAsia="仿宋_GB2312" w:cs="Times New Roman"/>
          <w:bCs/>
          <w:sz w:val="32"/>
          <w:szCs w:val="32"/>
        </w:rPr>
      </w:pPr>
      <w:r>
        <w:rPr>
          <w:rFonts w:hint="eastAsia" w:ascii="楷体" w:hAnsi="楷体" w:eastAsia="楷体" w:cs="Times New Roman"/>
          <w:b/>
          <w:bCs/>
          <w:kern w:val="0"/>
          <w:sz w:val="32"/>
          <w:szCs w:val="32"/>
          <w:lang w:val="en-US" w:eastAsia="zh-CN"/>
        </w:rPr>
        <w:t>3.</w:t>
      </w:r>
      <w:r>
        <w:rPr>
          <w:rFonts w:hint="eastAsia" w:ascii="楷体" w:hAnsi="楷体" w:eastAsia="楷体" w:cs="Times New Roman"/>
          <w:b/>
          <w:bCs/>
          <w:kern w:val="0"/>
          <w:sz w:val="32"/>
          <w:szCs w:val="32"/>
        </w:rPr>
        <w:t>突出重点防治，安全防线更加牢固。</w:t>
      </w:r>
      <w:r>
        <w:rPr>
          <w:rFonts w:hint="eastAsia" w:ascii="仿宋_GB2312" w:hAnsi="Times New Roman" w:eastAsia="仿宋_GB2312" w:cs="Times New Roman"/>
          <w:b/>
          <w:bCs/>
          <w:sz w:val="32"/>
          <w:szCs w:val="32"/>
        </w:rPr>
        <w:t>危险化学品和烟花爆竹方面。</w:t>
      </w:r>
      <w:r>
        <w:rPr>
          <w:rFonts w:hint="eastAsia" w:ascii="仿宋_GB2312" w:hAnsi="Times New Roman" w:eastAsia="仿宋_GB2312" w:cs="Times New Roman"/>
          <w:bCs/>
          <w:sz w:val="32"/>
          <w:szCs w:val="32"/>
        </w:rPr>
        <w:t>扎实开展危险化学品和烟花爆竹安全生产专项整治三年行动，对企业开展安全生产检查督查20次，立案3起，罚款2.35万元；开展烟花爆竹打非治违行动5次。</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ascii="仿宋_GB2312" w:hAnsi="Times New Roman" w:eastAsia="仿宋_GB2312" w:cs="Times New Roman"/>
          <w:kern w:val="0"/>
          <w:sz w:val="32"/>
          <w:szCs w:val="32"/>
        </w:rPr>
      </w:pPr>
      <w:r>
        <w:rPr>
          <w:rFonts w:hint="eastAsia" w:ascii="楷体" w:hAnsi="楷体" w:eastAsia="楷体" w:cs="Times New Roman"/>
          <w:b/>
          <w:bCs/>
          <w:kern w:val="0"/>
          <w:sz w:val="32"/>
          <w:szCs w:val="32"/>
          <w:lang w:val="en-US" w:eastAsia="zh-CN"/>
        </w:rPr>
        <w:t>4.</w:t>
      </w:r>
      <w:r>
        <w:rPr>
          <w:rFonts w:hint="eastAsia" w:ascii="楷体" w:hAnsi="楷体" w:eastAsia="楷体" w:cs="Times New Roman"/>
          <w:b/>
          <w:bCs/>
          <w:kern w:val="0"/>
          <w:sz w:val="32"/>
          <w:szCs w:val="32"/>
        </w:rPr>
        <w:t>突出基层基础，安全监管更加有效。</w:t>
      </w:r>
      <w:r>
        <w:rPr>
          <w:rFonts w:hint="eastAsia" w:ascii="仿宋_GB2312" w:hAnsi="Times New Roman" w:eastAsia="仿宋_GB2312" w:cs="Times New Roman"/>
          <w:b/>
          <w:bCs/>
          <w:kern w:val="0"/>
          <w:sz w:val="32"/>
          <w:szCs w:val="32"/>
        </w:rPr>
        <w:t>一是推进基层应急能力建设。</w:t>
      </w:r>
      <w:r>
        <w:rPr>
          <w:rFonts w:hint="eastAsia" w:ascii="仿宋_GB2312" w:hAnsi="Times New Roman" w:eastAsia="仿宋_GB2312" w:cs="Times New Roman"/>
          <w:kern w:val="0"/>
          <w:sz w:val="32"/>
          <w:szCs w:val="32"/>
        </w:rPr>
        <w:t>制定《加强乡镇应急能力建设实施方案》，</w:t>
      </w:r>
      <w:r>
        <w:rPr>
          <w:rFonts w:hint="eastAsia" w:ascii="仿宋_GB2312" w:hAnsi="Times New Roman" w:eastAsia="仿宋_GB2312" w:cs="Times New Roman"/>
          <w:sz w:val="32"/>
          <w:szCs w:val="32"/>
        </w:rPr>
        <w:t>严格按照 “六有”“四延”标准推进乡镇</w:t>
      </w:r>
      <w:r>
        <w:rPr>
          <w:rFonts w:hint="eastAsia" w:ascii="仿宋_GB2312" w:hAnsi="Times New Roman" w:eastAsia="仿宋_GB2312" w:cs="Times New Roman"/>
          <w:kern w:val="0"/>
          <w:sz w:val="32"/>
          <w:szCs w:val="32"/>
        </w:rPr>
        <w:t>街道</w:t>
      </w:r>
      <w:r>
        <w:rPr>
          <w:rFonts w:hint="eastAsia" w:ascii="仿宋_GB2312" w:hAnsi="Times New Roman" w:eastAsia="仿宋_GB2312" w:cs="Times New Roman"/>
          <w:sz w:val="32"/>
          <w:szCs w:val="32"/>
        </w:rPr>
        <w:t>应急能力建设，</w:t>
      </w:r>
      <w:r>
        <w:rPr>
          <w:rFonts w:hint="eastAsia" w:ascii="仿宋_GB2312" w:hAnsi="Times New Roman" w:eastAsia="仿宋_GB2312" w:cs="Times New Roman"/>
          <w:kern w:val="0"/>
          <w:sz w:val="32"/>
          <w:szCs w:val="32"/>
        </w:rPr>
        <w:t>结合平安创建工作，高标准搭建乡镇街道应急管理建设网格化管理平台，配齐配强了25个村（社区）应急管理信息员和宣传员，实行隐患排查治理、应急信息网格化管理。目前，祝融街道已顺利通过省级应急能力建设示范乡镇验收。</w:t>
      </w:r>
      <w:r>
        <w:rPr>
          <w:rFonts w:hint="eastAsia" w:ascii="仿宋_GB2312" w:hAnsi="Times New Roman" w:eastAsia="仿宋_GB2312" w:cs="Times New Roman"/>
          <w:b/>
          <w:bCs/>
          <w:kern w:val="0"/>
          <w:sz w:val="32"/>
          <w:szCs w:val="32"/>
        </w:rPr>
        <w:t>二是完善风险防控和监测预警机制。</w:t>
      </w:r>
      <w:r>
        <w:rPr>
          <w:rFonts w:hint="eastAsia" w:ascii="仿宋_GB2312" w:hAnsi="Times New Roman" w:eastAsia="仿宋_GB2312" w:cs="Times New Roman"/>
          <w:kern w:val="0"/>
          <w:sz w:val="32"/>
          <w:szCs w:val="32"/>
        </w:rPr>
        <w:t>围绕事前预防与应急准备，着手建立健全风险防控和监测预警机制，重点落实风险调查评估和隐患排查治理双重预防制度。</w:t>
      </w:r>
      <w:r>
        <w:rPr>
          <w:rFonts w:hint="eastAsia" w:ascii="仿宋_GB2312" w:hAnsi="Times New Roman" w:eastAsia="仿宋_GB2312" w:cs="Times New Roman"/>
          <w:b/>
          <w:bCs/>
          <w:kern w:val="0"/>
          <w:sz w:val="32"/>
          <w:szCs w:val="32"/>
        </w:rPr>
        <w:t>三是整合应急保障资源。</w:t>
      </w:r>
      <w:r>
        <w:rPr>
          <w:rFonts w:hint="eastAsia" w:ascii="仿宋_GB2312" w:hAnsi="Times New Roman" w:eastAsia="仿宋_GB2312" w:cs="Times New Roman"/>
          <w:kern w:val="0"/>
          <w:sz w:val="32"/>
          <w:szCs w:val="32"/>
        </w:rPr>
        <w:t>建立健全应急物资保障制度，根据省级发布的《乡镇（街道）综合应急管理物资、装备配备指南》，积极开展以有场地设施、有物资装备、有工作制度等为主要内容的村（社区）应急服务站建设，与辖区超市、医疗机构签订协议，加强辖区突发情况下的物资医疗保障；优化村（社区）应急服务站和微型消防站设置，加强了装备保障，逐步实现社区微型消防站全覆盖。</w:t>
      </w:r>
    </w:p>
    <w:p>
      <w:pPr>
        <w:pStyle w:val="14"/>
        <w:keepNext w:val="0"/>
        <w:keepLines w:val="0"/>
        <w:pageBreakBefore w:val="0"/>
        <w:kinsoku/>
        <w:wordWrap/>
        <w:overflowPunct/>
        <w:topLinePunct w:val="0"/>
        <w:bidi w:val="0"/>
        <w:spacing w:line="560" w:lineRule="exact"/>
        <w:ind w:left="0" w:leftChars="0" w:firstLine="643" w:firstLineChars="200"/>
        <w:textAlignment w:val="auto"/>
        <w:rPr>
          <w:rFonts w:ascii="仿宋_GB2312" w:hAnsi="楷体" w:eastAsia="仿宋_GB2312"/>
          <w:bCs/>
          <w:kern w:val="0"/>
          <w:sz w:val="32"/>
          <w:szCs w:val="32"/>
        </w:rPr>
      </w:pPr>
      <w:r>
        <w:rPr>
          <w:rFonts w:hint="eastAsia" w:ascii="楷体" w:hAnsi="楷体" w:eastAsia="楷体"/>
          <w:b/>
          <w:bCs/>
          <w:kern w:val="0"/>
          <w:sz w:val="32"/>
          <w:szCs w:val="32"/>
          <w:lang w:val="en-US" w:eastAsia="zh-CN"/>
        </w:rPr>
        <w:t>5.</w:t>
      </w:r>
      <w:r>
        <w:rPr>
          <w:rFonts w:hint="eastAsia" w:ascii="楷体" w:hAnsi="楷体" w:eastAsia="楷体"/>
          <w:b/>
          <w:bCs/>
          <w:kern w:val="0"/>
          <w:sz w:val="32"/>
          <w:szCs w:val="32"/>
        </w:rPr>
        <w:t>突出百日会战，安全形势持续向好。</w:t>
      </w:r>
      <w:r>
        <w:rPr>
          <w:rFonts w:hint="eastAsia" w:ascii="仿宋_GB2312" w:hAnsi="楷体" w:eastAsia="仿宋_GB2312"/>
          <w:bCs/>
          <w:kern w:val="0"/>
          <w:sz w:val="32"/>
          <w:szCs w:val="32"/>
        </w:rPr>
        <w:t>10月21日全省岁末年初安全生产百日大会战动员视频会后，我区积极响应，迅速召开了全区岁末年初安全生产百日大会战动员会。</w:t>
      </w:r>
      <w:r>
        <w:rPr>
          <w:rFonts w:hint="eastAsia" w:ascii="仿宋_GB2312" w:hAnsi="楷体" w:eastAsia="仿宋_GB2312"/>
          <w:b/>
          <w:bCs/>
          <w:kern w:val="0"/>
          <w:sz w:val="32"/>
          <w:szCs w:val="32"/>
        </w:rPr>
        <w:t>一是安排部署快。</w:t>
      </w:r>
      <w:r>
        <w:rPr>
          <w:rFonts w:hint="eastAsia" w:ascii="仿宋_GB2312" w:hAnsi="楷体" w:eastAsia="仿宋_GB2312"/>
          <w:bCs/>
          <w:kern w:val="0"/>
          <w:sz w:val="32"/>
          <w:szCs w:val="32"/>
        </w:rPr>
        <w:t>常务副区长杨雪峰亲自部署，并提出了“四个结合”。要紧密结合三年行动集中攻坚，要紧密结合年度安全生产和消防工作考核，要紧密结合各类事故防控，要紧密结合下一年度工作谋划。区安委办每周五召开岁末年初安全生产百日大会战调度会。听取各乡镇街道和安委会各成员单位大会战工作情况汇报。</w:t>
      </w:r>
      <w:r>
        <w:rPr>
          <w:rFonts w:hint="eastAsia" w:ascii="仿宋_GB2312" w:hAnsi="楷体" w:eastAsia="仿宋_GB2312"/>
          <w:b/>
          <w:bCs/>
          <w:kern w:val="0"/>
          <w:sz w:val="32"/>
          <w:szCs w:val="32"/>
        </w:rPr>
        <w:t>二是落实力度大。</w:t>
      </w:r>
      <w:r>
        <w:rPr>
          <w:rFonts w:hint="eastAsia" w:ascii="仿宋_GB2312" w:hAnsi="楷体" w:eastAsia="仿宋_GB2312"/>
          <w:bCs/>
          <w:kern w:val="0"/>
          <w:sz w:val="32"/>
          <w:szCs w:val="32"/>
        </w:rPr>
        <w:t>对各乡镇街道和区直各相关部门明确百日大会战具体任务指标，要求重大风险辨识数量和重大风险管控数量每月17日前上报，各单位在认真核实的基础上，做到“应报尽报”、“尽报详报”。同时向市、区领导及时报告我区在“大会战”中</w:t>
      </w:r>
      <w:r>
        <w:rPr>
          <w:rFonts w:hint="eastAsia" w:ascii="仿宋_GB2312" w:hAnsi="楷体" w:eastAsia="仿宋_GB2312"/>
          <w:bCs/>
          <w:color w:val="000000" w:themeColor="text1"/>
          <w:kern w:val="0"/>
          <w:sz w:val="32"/>
          <w:szCs w:val="32"/>
          <w14:textFill>
            <w14:solidFill>
              <w14:schemeClr w14:val="tx1"/>
            </w14:solidFill>
          </w14:textFill>
        </w:rPr>
        <w:t>安全生产行政执法工作阶段性成果。自活动开展以来全区共辨识重大风险574个，管控重大风险369个，媒体曝光21例，举报查实2起。</w:t>
      </w:r>
    </w:p>
    <w:p>
      <w:pPr>
        <w:keepNext w:val="0"/>
        <w:keepLines w:val="0"/>
        <w:pageBreakBefore w:val="0"/>
        <w:kinsoku/>
        <w:wordWrap/>
        <w:overflowPunct/>
        <w:topLinePunct w:val="0"/>
        <w:bidi w:val="0"/>
        <w:adjustRightInd w:val="0"/>
        <w:snapToGrid w:val="0"/>
        <w:spacing w:line="560" w:lineRule="exact"/>
        <w:ind w:left="0" w:leftChars="0" w:firstLine="739" w:firstLineChars="231"/>
        <w:textAlignment w:val="auto"/>
        <w:rPr>
          <w:rFonts w:ascii="黑体" w:hAnsi="黑体" w:eastAsia="黑体" w:cs="Times New Roman"/>
          <w:sz w:val="32"/>
          <w:szCs w:val="32"/>
        </w:rPr>
      </w:pPr>
      <w:r>
        <w:rPr>
          <w:rFonts w:hint="eastAsia" w:ascii="黑体" w:hAnsi="黑体" w:eastAsia="黑体" w:cs="Times New Roman"/>
          <w:sz w:val="32"/>
          <w:szCs w:val="32"/>
          <w:lang w:eastAsia="zh-CN"/>
        </w:rPr>
        <w:t>（二）</w:t>
      </w:r>
      <w:r>
        <w:rPr>
          <w:rFonts w:hint="eastAsia" w:ascii="黑体" w:hAnsi="黑体" w:eastAsia="黑体" w:cs="Times New Roman"/>
          <w:sz w:val="32"/>
          <w:szCs w:val="32"/>
        </w:rPr>
        <w:t>坚持未雨绸缪，狠抓综合防灾减灾不松懈</w:t>
      </w:r>
    </w:p>
    <w:p>
      <w:pPr>
        <w:keepNext w:val="0"/>
        <w:keepLines w:val="0"/>
        <w:pageBreakBefore w:val="0"/>
        <w:numPr>
          <w:ilvl w:val="0"/>
          <w:numId w:val="0"/>
        </w:numPr>
        <w:kinsoku/>
        <w:wordWrap/>
        <w:overflowPunct/>
        <w:topLinePunct w:val="0"/>
        <w:bidi w:val="0"/>
        <w:adjustRightInd w:val="0"/>
        <w:snapToGrid w:val="0"/>
        <w:spacing w:line="560" w:lineRule="exact"/>
        <w:ind w:firstLine="643" w:firstLineChars="200"/>
        <w:textAlignment w:val="auto"/>
      </w:pPr>
      <w:r>
        <w:rPr>
          <w:rFonts w:hint="eastAsia" w:ascii="楷体" w:hAnsi="楷体" w:eastAsia="楷体" w:cs="Times New Roman"/>
          <w:b/>
          <w:bCs/>
          <w:kern w:val="0"/>
          <w:sz w:val="32"/>
          <w:szCs w:val="32"/>
          <w:lang w:val="en-US" w:eastAsia="zh-CN"/>
        </w:rPr>
        <w:t>1.</w:t>
      </w:r>
      <w:r>
        <w:rPr>
          <w:rFonts w:hint="eastAsia" w:ascii="楷体" w:hAnsi="楷体" w:eastAsia="楷体" w:cs="Times New Roman"/>
          <w:b/>
          <w:bCs/>
          <w:kern w:val="0"/>
          <w:sz w:val="32"/>
          <w:szCs w:val="32"/>
        </w:rPr>
        <w:t>防微杜渐，全力做好防灾减灾救灾工作。</w:t>
      </w:r>
      <w:r>
        <w:rPr>
          <w:rFonts w:hint="eastAsia" w:ascii="仿宋_GB2312" w:hAnsi="Times New Roman" w:eastAsia="仿宋_GB2312" w:cs="Times New Roman"/>
          <w:b/>
          <w:bCs/>
          <w:sz w:val="32"/>
          <w:szCs w:val="32"/>
        </w:rPr>
        <w:t>地质灾害防治方面。</w:t>
      </w:r>
      <w:r>
        <w:rPr>
          <w:rFonts w:hint="eastAsia" w:ascii="仿宋_GB2312" w:hAnsi="Times New Roman" w:eastAsia="仿宋_GB2312" w:cs="Times New Roman"/>
          <w:sz w:val="32"/>
          <w:szCs w:val="32"/>
        </w:rPr>
        <w:t>按照省、市相关要求，完成应急救灾物资储备“一张图”、调运“一张网”，建立健全区、乡、村三级灾害信息员报灾制度，全区自然灾害应急救助体系初步建立。立足于“防大汛、抗大旱、抢大险、救大灾”要求，坚持早谋划、早部署、早行动，做到“防汛检查到位、险情处理到位、预案准备到位、抢险人员准备到位、物资储备到位、山洪地质灾害防御到位、监测预警到位”。针对强降雨天气，深入水库、山塘和地质灾害、城市内涝风险隐患点排查化险，并及时转移安置危房户、潜在危险住户人员，汛期期间，紧急避险转移23户51人，紧急转移安置26人，</w:t>
      </w:r>
      <w:r>
        <w:rPr>
          <w:rFonts w:hint="eastAsia" w:ascii="仿宋_GB2312" w:hAnsi="Times New Roman" w:eastAsia="仿宋_GB2312" w:cs="Times New Roman"/>
          <w:sz w:val="32"/>
          <w:szCs w:val="32"/>
          <w:shd w:val="clear" w:color="auto" w:fill="FFFFFF"/>
        </w:rPr>
        <w:t>未发生因灾造成人员伤亡情况。</w:t>
      </w:r>
      <w:r>
        <w:rPr>
          <w:rFonts w:hint="eastAsia" w:ascii="仿宋_GB2312" w:hAnsi="Times New Roman" w:eastAsia="仿宋_GB2312" w:cs="Times New Roman"/>
          <w:b/>
          <w:bCs/>
          <w:sz w:val="32"/>
          <w:szCs w:val="32"/>
        </w:rPr>
        <w:t>森林防灭火方面。</w:t>
      </w:r>
      <w:r>
        <w:rPr>
          <w:rFonts w:hint="eastAsia" w:ascii="仿宋_GB2312" w:hAnsi="Times New Roman" w:eastAsia="仿宋_GB2312" w:cs="Times New Roman"/>
          <w:sz w:val="32"/>
          <w:szCs w:val="32"/>
        </w:rPr>
        <w:t>全面压实防灭火责任，</w:t>
      </w:r>
      <w:r>
        <w:rPr>
          <w:rStyle w:val="15"/>
          <w:rFonts w:hint="eastAsia" w:ascii="仿宋_GB2312" w:hAnsi="Times New Roman" w:eastAsia="仿宋_GB2312" w:cs="Times New Roman"/>
          <w:color w:val="000000"/>
          <w:sz w:val="32"/>
          <w:szCs w:val="32"/>
        </w:rPr>
        <w:t>重点抓好防灭火宣传、火源管控、隐患治理、防火设施建设等基础工作</w:t>
      </w:r>
      <w:r>
        <w:rPr>
          <w:rFonts w:hint="eastAsia" w:ascii="仿宋_GB2312" w:hAnsi="Times New Roman" w:eastAsia="仿宋_GB2312" w:cs="Times New Roman"/>
          <w:sz w:val="32"/>
          <w:szCs w:val="32"/>
        </w:rPr>
        <w:t>。在林景区出入口推广使用“防火码”，着力构建以“防火码”为抓手的“人为火”管控体系。投入资金74万余元，在全区开设防火隔离带及清理防火线75公里、生物防火林带8.4公里，集中清理坟场墓地676亩、景区主次干道75公里、林道215公里、游步道27公里、驴友道5公里、林区林缘耕作地11.7公里，有效排除火灾隐患，维护森林资源安全。今年，我区未发生一起森林火险、火情。</w:t>
      </w:r>
    </w:p>
    <w:p>
      <w:pPr>
        <w:keepNext w:val="0"/>
        <w:keepLines w:val="0"/>
        <w:pageBreakBefore w:val="0"/>
        <w:kinsoku/>
        <w:wordWrap/>
        <w:overflowPunct/>
        <w:topLinePunct w:val="0"/>
        <w:bidi w:val="0"/>
        <w:adjustRightInd w:val="0"/>
        <w:snapToGrid w:val="0"/>
        <w:spacing w:line="560" w:lineRule="exact"/>
        <w:ind w:firstLine="710" w:firstLineChars="221"/>
        <w:textAlignment w:val="auto"/>
        <w:rPr>
          <w:rFonts w:ascii="仿宋_GB2312" w:hAnsi="Times New Roman" w:eastAsia="仿宋_GB2312" w:cs="Times New Roman"/>
          <w:sz w:val="32"/>
          <w:szCs w:val="32"/>
        </w:rPr>
      </w:pPr>
      <w:r>
        <w:rPr>
          <w:rFonts w:hint="eastAsia" w:ascii="楷体" w:hAnsi="楷体" w:eastAsia="楷体" w:cs="Times New Roman"/>
          <w:b/>
          <w:bCs/>
          <w:kern w:val="0"/>
          <w:sz w:val="32"/>
          <w:szCs w:val="32"/>
          <w:lang w:val="en-US" w:eastAsia="zh-CN"/>
        </w:rPr>
        <w:t>2.</w:t>
      </w:r>
      <w:r>
        <w:rPr>
          <w:rFonts w:hint="eastAsia" w:ascii="楷体" w:hAnsi="楷体" w:eastAsia="楷体" w:cs="Times New Roman"/>
          <w:b/>
          <w:bCs/>
          <w:kern w:val="0"/>
          <w:sz w:val="32"/>
          <w:szCs w:val="32"/>
        </w:rPr>
        <w:t>宣传引导，营造安全生产浓厚氛围。</w:t>
      </w:r>
      <w:r>
        <w:rPr>
          <w:rFonts w:hint="eastAsia" w:ascii="仿宋_GB2312" w:hAnsi="Times New Roman" w:eastAsia="仿宋_GB2312" w:cs="Times New Roman"/>
          <w:bCs/>
          <w:color w:val="000000"/>
          <w:sz w:val="32"/>
          <w:szCs w:val="32"/>
        </w:rPr>
        <w:t>制定下发了《安全生产专项整治三年行动宣传工作方案》《安全生产“打非治违”宣传方案》，修订了《安全生产领域举报奖励办法》。</w:t>
      </w:r>
      <w:r>
        <w:rPr>
          <w:rFonts w:hint="eastAsia" w:ascii="仿宋_GB2312" w:hAnsi="Times New Roman" w:eastAsia="仿宋_GB2312" w:cs="Times New Roman"/>
          <w:color w:val="000000" w:themeColor="text1"/>
          <w:sz w:val="32"/>
          <w:szCs w:val="32"/>
          <w14:textFill>
            <w14:solidFill>
              <w14:schemeClr w14:val="tx1"/>
            </w14:solidFill>
          </w14:textFill>
        </w:rPr>
        <w:t>以安全宣传教育“五进”为抓手，强化“中小学安全教育日”“3.15消防产品宣传活动”“防灾减灾日”“安全生产月”“森林防火宣传月活动”等主题宣传。</w:t>
      </w:r>
      <w:r>
        <w:rPr>
          <w:rFonts w:hint="eastAsia" w:ascii="仿宋_GB2312" w:hAnsi="Times New Roman" w:eastAsia="仿宋_GB2312" w:cs="Times New Roman"/>
          <w:bCs/>
          <w:color w:val="000000"/>
          <w:sz w:val="32"/>
          <w:szCs w:val="32"/>
        </w:rPr>
        <w:t>在区电视台开辟“安全生产”专栏，大力宣传安全生产和应急管理法律法规及安全常识。</w:t>
      </w:r>
      <w:r>
        <w:rPr>
          <w:rFonts w:hint="eastAsia" w:ascii="仿宋_GB2312" w:hAnsi="Times New Roman" w:eastAsia="仿宋_GB2312" w:cs="Times New Roman"/>
          <w:bCs/>
          <w:color w:val="000000" w:themeColor="text1"/>
          <w:sz w:val="32"/>
          <w:szCs w:val="32"/>
          <w14:textFill>
            <w14:solidFill>
              <w14:schemeClr w14:val="tx1"/>
            </w14:solidFill>
          </w14:textFill>
        </w:rPr>
        <w:t>利用“村</w:t>
      </w:r>
      <w:r>
        <w:rPr>
          <w:rFonts w:hint="eastAsia" w:ascii="仿宋_GB2312" w:hAnsi="Times New Roman" w:eastAsia="仿宋_GB2312" w:cs="Times New Roman"/>
          <w:bCs/>
          <w:sz w:val="32"/>
          <w:szCs w:val="32"/>
        </w:rPr>
        <w:t>村响”、城区室外广播、短信、LED显示屏、</w:t>
      </w:r>
      <w:r>
        <w:rPr>
          <w:rFonts w:hint="eastAsia" w:ascii="仿宋_GB2312" w:hAnsi="Times New Roman" w:eastAsia="仿宋_GB2312" w:cs="Times New Roman"/>
          <w:color w:val="000000" w:themeColor="text1"/>
          <w:sz w:val="32"/>
          <w:szCs w:val="32"/>
          <w14:textFill>
            <w14:solidFill>
              <w14:schemeClr w14:val="tx1"/>
            </w14:solidFill>
          </w14:textFill>
        </w:rPr>
        <w:t>宣传视频、PPT</w:t>
      </w:r>
      <w:r>
        <w:rPr>
          <w:rFonts w:hint="eastAsia" w:ascii="仿宋_GB2312" w:hAnsi="Times New Roman" w:eastAsia="仿宋_GB2312" w:cs="Times New Roman"/>
          <w:bCs/>
          <w:sz w:val="32"/>
          <w:szCs w:val="32"/>
        </w:rPr>
        <w:t>等媒介广泛宣传</w:t>
      </w:r>
      <w:r>
        <w:rPr>
          <w:rFonts w:hint="eastAsia" w:ascii="仿宋_GB2312" w:hAnsi="Times New Roman" w:eastAsia="仿宋_GB2312" w:cs="Times New Roman"/>
          <w:sz w:val="32"/>
          <w:szCs w:val="32"/>
        </w:rPr>
        <w:t>安全生产、应急和消防安全知识。建立违法举报制度，鼓励广大群众举报安全隐患和违法违规行为。</w:t>
      </w:r>
    </w:p>
    <w:p>
      <w:pPr>
        <w:keepNext w:val="0"/>
        <w:keepLines w:val="0"/>
        <w:pageBreakBefore w:val="0"/>
        <w:kinsoku/>
        <w:wordWrap/>
        <w:overflowPunct/>
        <w:topLinePunct w:val="0"/>
        <w:bidi w:val="0"/>
        <w:adjustRightInd w:val="0"/>
        <w:snapToGrid w:val="0"/>
        <w:spacing w:line="560" w:lineRule="exact"/>
        <w:ind w:firstLine="710" w:firstLineChars="221"/>
        <w:textAlignment w:val="auto"/>
        <w:rPr>
          <w:rFonts w:hint="eastAsia" w:ascii="仿宋_GB2312" w:eastAsia="仿宋_GB2312"/>
          <w:sz w:val="32"/>
          <w:szCs w:val="32"/>
          <w:lang w:eastAsia="zh-CN"/>
        </w:rPr>
      </w:pPr>
      <w:r>
        <w:rPr>
          <w:rFonts w:hint="eastAsia" w:ascii="楷体" w:hAnsi="楷体" w:eastAsia="楷体"/>
          <w:b/>
          <w:bCs/>
          <w:kern w:val="0"/>
          <w:sz w:val="32"/>
          <w:szCs w:val="32"/>
          <w:lang w:val="en-US" w:eastAsia="zh-CN"/>
        </w:rPr>
        <w:t>3.</w:t>
      </w:r>
      <w:r>
        <w:rPr>
          <w:rFonts w:hint="eastAsia" w:ascii="楷体" w:hAnsi="楷体" w:eastAsia="楷体"/>
          <w:b/>
          <w:bCs/>
          <w:kern w:val="0"/>
          <w:sz w:val="32"/>
          <w:szCs w:val="32"/>
        </w:rPr>
        <w:t>加强演练，提升应急处置能力。</w:t>
      </w:r>
      <w:r>
        <w:rPr>
          <w:rFonts w:hint="eastAsia" w:ascii="仿宋_GB2312" w:eastAsia="仿宋_GB2312"/>
          <w:b/>
          <w:bCs/>
          <w:sz w:val="32"/>
          <w:szCs w:val="32"/>
        </w:rPr>
        <w:t>一是做好值班值守和信息报送。</w:t>
      </w:r>
      <w:r>
        <w:rPr>
          <w:rFonts w:hint="eastAsia" w:ascii="仿宋_GB2312" w:eastAsia="仿宋_GB2312"/>
          <w:sz w:val="32"/>
          <w:szCs w:val="32"/>
        </w:rPr>
        <w:t>按照“全方位、全领域、全天候”要求，严格落实领导干部带班</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sz w:val="32"/>
          <w:szCs w:val="32"/>
        </w:rPr>
        <w:t>24小时值班制度，加强信息处理能力建设，强化突发事件“现场处置、信息上报、舆情应对”的系统性、整体性、协同性，确保事故发生时最大限度减少人员财产损失。</w:t>
      </w:r>
      <w:r>
        <w:rPr>
          <w:rFonts w:hint="eastAsia" w:ascii="仿宋_GB2312" w:eastAsia="仿宋_GB2312"/>
          <w:b/>
          <w:bCs/>
          <w:sz w:val="32"/>
          <w:szCs w:val="32"/>
        </w:rPr>
        <w:t>二是做好应急预案管理和应急演练工作。</w:t>
      </w:r>
      <w:r>
        <w:rPr>
          <w:rFonts w:hint="eastAsia" w:ascii="仿宋_GB2312" w:eastAsia="仿宋_GB2312"/>
          <w:sz w:val="32"/>
          <w:szCs w:val="32"/>
        </w:rPr>
        <w:t>以政府购买服务的方式，委托第三方专业机构编制了“1+4+35+24”应急预案体系（即：1个突发事件总体预案、4大类专项应急预案、35个行业领域专项预案、24个乡镇（街道）预案）。全年各乡镇街道和各部门组织开展了道路交通、管道燃气泄露、校园安全、森林火灾等事故应急救援演练活动16次，参与演练人员1300余人次，有效增强了全社会的</w:t>
      </w:r>
      <w:r>
        <w:rPr>
          <w:rFonts w:hint="eastAsia" w:ascii="仿宋_GB2312" w:eastAsia="仿宋_GB2312"/>
          <w:sz w:val="32"/>
          <w:szCs w:val="32"/>
          <w:lang w:eastAsia="zh-CN"/>
        </w:rPr>
        <w:t>。</w:t>
      </w:r>
    </w:p>
    <w:p>
      <w:pPr>
        <w:spacing w:line="580" w:lineRule="exact"/>
        <w:ind w:firstLine="640" w:firstLineChars="200"/>
        <w:rPr>
          <w:rFonts w:ascii="Times New Roman" w:hAnsi="Times New Roman" w:eastAsia="仿宋_GB2312"/>
          <w:b/>
          <w:sz w:val="32"/>
          <w:szCs w:val="32"/>
        </w:rPr>
      </w:pPr>
      <w:r>
        <w:rPr>
          <w:rFonts w:eastAsia="仿宋_GB2312"/>
          <w:sz w:val="32"/>
          <w:szCs w:val="32"/>
        </w:rPr>
        <w:t>20</w:t>
      </w:r>
      <w:r>
        <w:rPr>
          <w:rFonts w:hint="eastAsia" w:eastAsia="仿宋_GB2312"/>
          <w:sz w:val="32"/>
          <w:szCs w:val="32"/>
          <w:lang w:val="en-US" w:eastAsia="zh-CN"/>
        </w:rPr>
        <w:t>21</w:t>
      </w:r>
      <w:r>
        <w:rPr>
          <w:rFonts w:eastAsia="仿宋_GB2312"/>
          <w:sz w:val="32"/>
          <w:szCs w:val="32"/>
        </w:rPr>
        <w:t>年我</w:t>
      </w:r>
      <w:r>
        <w:rPr>
          <w:rFonts w:hint="eastAsia" w:eastAsia="仿宋_GB2312"/>
          <w:sz w:val="32"/>
          <w:szCs w:val="32"/>
          <w:lang w:eastAsia="zh-CN"/>
        </w:rPr>
        <w:t>区</w:t>
      </w:r>
      <w:r>
        <w:rPr>
          <w:rFonts w:eastAsia="仿宋_GB2312"/>
          <w:sz w:val="32"/>
          <w:szCs w:val="32"/>
        </w:rPr>
        <w:t>荣获</w:t>
      </w:r>
      <w:r>
        <w:rPr>
          <w:rFonts w:hint="eastAsia" w:eastAsia="仿宋_GB2312"/>
          <w:sz w:val="32"/>
          <w:szCs w:val="32"/>
          <w:lang w:eastAsia="zh-CN"/>
        </w:rPr>
        <w:t>全省安全生产和消防工作优秀单位</w:t>
      </w:r>
      <w:r>
        <w:rPr>
          <w:rFonts w:ascii="Times New Roman" w:hAnsi="Times New Roman" w:eastAsia="仿宋_GB2312"/>
          <w:sz w:val="32"/>
          <w:szCs w:val="32"/>
        </w:rPr>
        <w:t xml:space="preserve">。 </w:t>
      </w:r>
    </w:p>
    <w:p>
      <w:pPr>
        <w:widowControl/>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w:t>
      </w:r>
      <w:r>
        <w:rPr>
          <w:rFonts w:ascii="Times New Roman" w:hAnsi="Times New Roman" w:eastAsia="黑体" w:cs="Times New Roman"/>
          <w:sz w:val="32"/>
          <w:szCs w:val="32"/>
        </w:rPr>
        <w:t>存在的问题及原因分析</w:t>
      </w:r>
    </w:p>
    <w:p>
      <w:pPr>
        <w:keepNext w:val="0"/>
        <w:keepLines w:val="0"/>
        <w:pageBreakBefore w:val="0"/>
        <w:kinsoku/>
        <w:wordWrap/>
        <w:overflowPunct/>
        <w:topLinePunct w:val="0"/>
        <w:bidi w:val="0"/>
        <w:adjustRightInd w:val="0"/>
        <w:snapToGrid w:val="0"/>
        <w:spacing w:line="560" w:lineRule="exact"/>
        <w:ind w:firstLine="707" w:firstLineChars="221"/>
        <w:textAlignment w:val="auto"/>
        <w:rPr>
          <w:rFonts w:hint="eastAsia" w:ascii="仿宋_GB2312" w:eastAsia="仿宋_GB2312"/>
          <w:sz w:val="32"/>
          <w:szCs w:val="32"/>
        </w:rPr>
      </w:pPr>
      <w:r>
        <w:rPr>
          <w:rFonts w:hint="eastAsia" w:ascii="黑体" w:hAnsi="黑体" w:eastAsia="黑体" w:cs="Times New Roman"/>
          <w:sz w:val="32"/>
          <w:szCs w:val="32"/>
          <w:lang w:val="en-US" w:eastAsia="zh-CN"/>
        </w:rPr>
        <w:t>（一）</w:t>
      </w:r>
      <w:r>
        <w:rPr>
          <w:rFonts w:hint="eastAsia" w:ascii="仿宋_GB2312" w:eastAsia="仿宋_GB2312"/>
          <w:sz w:val="32"/>
          <w:szCs w:val="32"/>
          <w:lang w:val="en-US" w:eastAsia="zh-CN"/>
        </w:rPr>
        <w:t>办公经费和人员经费严重不足，工作难度大。</w:t>
      </w:r>
    </w:p>
    <w:p>
      <w:pPr>
        <w:keepNext w:val="0"/>
        <w:keepLines w:val="0"/>
        <w:pageBreakBefore w:val="0"/>
        <w:kinsoku/>
        <w:wordWrap/>
        <w:overflowPunct/>
        <w:topLinePunct w:val="0"/>
        <w:bidi w:val="0"/>
        <w:adjustRightInd w:val="0"/>
        <w:snapToGrid w:val="0"/>
        <w:spacing w:line="560" w:lineRule="exact"/>
        <w:ind w:firstLine="707" w:firstLineChars="221"/>
        <w:textAlignment w:val="auto"/>
        <w:rPr>
          <w:rFonts w:hint="eastAsia" w:ascii="仿宋_GB2312" w:eastAsia="仿宋_GB2312"/>
          <w:sz w:val="32"/>
          <w:szCs w:val="32"/>
        </w:rPr>
      </w:pPr>
      <w:r>
        <w:rPr>
          <w:rFonts w:hint="eastAsia" w:ascii="黑体" w:hAnsi="黑体" w:eastAsia="黑体" w:cs="Times New Roman"/>
          <w:sz w:val="32"/>
          <w:szCs w:val="32"/>
          <w:lang w:val="en-US" w:eastAsia="zh-CN"/>
        </w:rPr>
        <w:t>（二）</w:t>
      </w:r>
      <w:r>
        <w:rPr>
          <w:rFonts w:hint="eastAsia" w:ascii="仿宋_GB2312" w:eastAsia="仿宋_GB2312"/>
          <w:sz w:val="32"/>
          <w:szCs w:val="32"/>
          <w:lang w:val="en-US" w:eastAsia="zh-CN"/>
        </w:rPr>
        <w:t>机构改革，防灾减灾任务艰巨，部分人员存在业务不熟，灾情报送、资金物资管理使用等相关工作还有待于加强。</w:t>
      </w:r>
    </w:p>
    <w:p>
      <w:pPr>
        <w:widowControl/>
        <w:numPr>
          <w:ilvl w:val="0"/>
          <w:numId w:val="2"/>
        </w:num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下一步改进措施</w:t>
      </w:r>
    </w:p>
    <w:p>
      <w:pPr>
        <w:spacing w:line="600" w:lineRule="exact"/>
        <w:ind w:firstLine="640" w:firstLineChars="200"/>
        <w:rPr>
          <w:rFonts w:eastAsia="仿宋_GB2312"/>
          <w:sz w:val="32"/>
          <w:szCs w:val="32"/>
        </w:rPr>
      </w:pPr>
      <w:r>
        <w:rPr>
          <w:rFonts w:eastAsia="仿宋_GB2312"/>
          <w:sz w:val="32"/>
          <w:szCs w:val="32"/>
        </w:rPr>
        <w:t>针对上述存在的问题，拟采取以下改进措施：</w:t>
      </w:r>
    </w:p>
    <w:p>
      <w:pPr>
        <w:widowControl/>
        <w:numPr>
          <w:ilvl w:val="0"/>
          <w:numId w:val="0"/>
        </w:numPr>
        <w:spacing w:line="600" w:lineRule="exact"/>
        <w:ind w:firstLine="640" w:firstLineChars="200"/>
        <w:jc w:val="left"/>
        <w:rPr>
          <w:rFonts w:hint="eastAsia" w:eastAsia="仿宋_GB2312"/>
          <w:sz w:val="32"/>
          <w:szCs w:val="32"/>
          <w:lang w:val="en-US" w:eastAsia="zh-CN"/>
        </w:rPr>
      </w:pPr>
      <w:r>
        <w:rPr>
          <w:rFonts w:hint="eastAsia" w:ascii="仿宋_GB2312" w:hAnsi="仿宋_GB2312" w:eastAsia="仿宋_GB2312" w:cs="仿宋_GB2312"/>
          <w:b w:val="0"/>
          <w:bCs/>
          <w:sz w:val="32"/>
          <w:szCs w:val="32"/>
          <w:lang w:val="en-US" w:eastAsia="zh-CN"/>
        </w:rPr>
        <w:t>强化预算管理，定期开展预算执行分析。</w:t>
      </w:r>
      <w:r>
        <w:rPr>
          <w:rFonts w:hint="eastAsia" w:eastAsia="仿宋_GB2312"/>
          <w:sz w:val="32"/>
          <w:szCs w:val="32"/>
          <w:lang w:val="en-US" w:eastAsia="zh-CN"/>
        </w:rPr>
        <w:t>通过定期对项目实施和预算执行情况进行梳理，及时掌握项目进度，督促项目实施单位早启动、早实施、早验收，对符合条件的项目按照项目进度支付相关款项，将预算资金管理贯穿于项目实施全过程中。对未启动项目及时分析原因，根据资金使用情况调整下年预算安排。</w:t>
      </w:r>
    </w:p>
    <w:p>
      <w:pPr>
        <w:pStyle w:val="2"/>
        <w:rPr>
          <w:rFonts w:hint="eastAsia" w:eastAsia="仿宋_GB2312"/>
          <w:sz w:val="32"/>
          <w:szCs w:val="32"/>
          <w:lang w:val="en-US" w:eastAsia="zh-CN"/>
        </w:rPr>
      </w:pPr>
    </w:p>
    <w:p>
      <w:pPr>
        <w:pStyle w:val="2"/>
        <w:jc w:val="right"/>
        <w:rPr>
          <w:rFonts w:hint="eastAsia" w:eastAsia="仿宋_GB2312"/>
          <w:sz w:val="32"/>
          <w:szCs w:val="32"/>
          <w:lang w:val="en-US" w:eastAsia="zh-CN"/>
        </w:rPr>
      </w:pPr>
      <w:r>
        <w:rPr>
          <w:rFonts w:hint="eastAsia" w:eastAsia="仿宋_GB2312"/>
          <w:sz w:val="32"/>
          <w:szCs w:val="32"/>
          <w:lang w:val="en-US" w:eastAsia="zh-CN"/>
        </w:rPr>
        <w:t>南岳区应急管理局</w:t>
      </w:r>
    </w:p>
    <w:p>
      <w:pPr>
        <w:pStyle w:val="2"/>
        <w:jc w:val="right"/>
        <w:rPr>
          <w:rFonts w:hint="default" w:eastAsia="仿宋_GB2312"/>
          <w:sz w:val="32"/>
          <w:szCs w:val="32"/>
          <w:lang w:val="en-US" w:eastAsia="zh-CN"/>
        </w:rPr>
      </w:pPr>
      <w:r>
        <w:rPr>
          <w:rFonts w:hint="eastAsia" w:eastAsia="仿宋_GB2312"/>
          <w:sz w:val="32"/>
          <w:szCs w:val="32"/>
          <w:lang w:val="en-US" w:eastAsia="zh-CN"/>
        </w:rPr>
        <w:t>2021年12月31日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39CCF1"/>
    <w:multiLevelType w:val="singleLevel"/>
    <w:tmpl w:val="F639CCF1"/>
    <w:lvl w:ilvl="0" w:tentative="0">
      <w:start w:val="2"/>
      <w:numFmt w:val="chineseCounting"/>
      <w:suff w:val="nothing"/>
      <w:lvlText w:val="%1、"/>
      <w:lvlJc w:val="left"/>
      <w:rPr>
        <w:rFonts w:hint="eastAsia"/>
      </w:rPr>
    </w:lvl>
  </w:abstractNum>
  <w:abstractNum w:abstractNumId="1">
    <w:nsid w:val="692A871F"/>
    <w:multiLevelType w:val="singleLevel"/>
    <w:tmpl w:val="692A871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0ZWEzYWI3ZDMyNWUxM2FmOTAxN2NmYTE2NjY0MjkifQ=="/>
  </w:docVars>
  <w:rsids>
    <w:rsidRoot w:val="58E06247"/>
    <w:rsid w:val="00881676"/>
    <w:rsid w:val="02E331C1"/>
    <w:rsid w:val="0C752CF5"/>
    <w:rsid w:val="0E462B7A"/>
    <w:rsid w:val="149B2A0B"/>
    <w:rsid w:val="20206032"/>
    <w:rsid w:val="20E67351"/>
    <w:rsid w:val="22121299"/>
    <w:rsid w:val="28606852"/>
    <w:rsid w:val="29EF7861"/>
    <w:rsid w:val="2CDC107D"/>
    <w:rsid w:val="30BE2A8F"/>
    <w:rsid w:val="362E0C50"/>
    <w:rsid w:val="408435DE"/>
    <w:rsid w:val="429F3322"/>
    <w:rsid w:val="42BE7D68"/>
    <w:rsid w:val="43102595"/>
    <w:rsid w:val="460D2A30"/>
    <w:rsid w:val="4777370B"/>
    <w:rsid w:val="4A1504A0"/>
    <w:rsid w:val="4A7B3704"/>
    <w:rsid w:val="52C14B04"/>
    <w:rsid w:val="559D5D2E"/>
    <w:rsid w:val="55A02E49"/>
    <w:rsid w:val="56E24058"/>
    <w:rsid w:val="58E06247"/>
    <w:rsid w:val="5C467066"/>
    <w:rsid w:val="64A2122F"/>
    <w:rsid w:val="6713109A"/>
    <w:rsid w:val="67B42849"/>
    <w:rsid w:val="6F9638AE"/>
    <w:rsid w:val="71BD756A"/>
    <w:rsid w:val="73E37068"/>
    <w:rsid w:val="751B6785"/>
    <w:rsid w:val="75B21952"/>
    <w:rsid w:val="792731CA"/>
    <w:rsid w:val="7AF831F9"/>
    <w:rsid w:val="7BD17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FollowedHyperlink"/>
    <w:basedOn w:val="8"/>
    <w:uiPriority w:val="0"/>
    <w:rPr>
      <w:color w:val="000000"/>
      <w:u w:val="none"/>
    </w:rPr>
  </w:style>
  <w:style w:type="character" w:styleId="10">
    <w:name w:val="Hyperlink"/>
    <w:basedOn w:val="8"/>
    <w:uiPriority w:val="0"/>
    <w:rPr>
      <w:color w:val="000000"/>
      <w:u w:val="none"/>
    </w:rPr>
  </w:style>
  <w:style w:type="paragraph" w:customStyle="1" w:styleId="11">
    <w:name w:val="样式3"/>
    <w:basedOn w:val="1"/>
    <w:qFormat/>
    <w:uiPriority w:val="0"/>
    <w:rPr>
      <w:rFonts w:ascii="Times New Roman" w:hAnsi="Times New Roman" w:eastAsia="仿宋_GB2312" w:cs="Times New Roman"/>
      <w:spacing w:val="113"/>
      <w:sz w:val="32"/>
    </w:rPr>
  </w:style>
  <w:style w:type="paragraph" w:customStyle="1" w:styleId="12">
    <w:name w:val="样式4"/>
    <w:basedOn w:val="1"/>
    <w:qFormat/>
    <w:uiPriority w:val="0"/>
    <w:rPr>
      <w:rFonts w:ascii="Times New Roman" w:hAnsi="Times New Roman" w:eastAsia="仿宋_GB2312" w:cs="Times New Roman"/>
      <w:snapToGrid w:val="0"/>
      <w:spacing w:val="79"/>
      <w:sz w:val="32"/>
    </w:rPr>
  </w:style>
  <w:style w:type="paragraph" w:customStyle="1" w:styleId="13">
    <w:name w:val="样式6"/>
    <w:basedOn w:val="1"/>
    <w:qFormat/>
    <w:uiPriority w:val="0"/>
    <w:rPr>
      <w:rFonts w:ascii="Times New Roman" w:hAnsi="Times New Roman" w:eastAsia="仿宋_GB2312" w:cs="Times New Roman"/>
      <w:spacing w:val="57"/>
      <w:sz w:val="32"/>
    </w:rPr>
  </w:style>
  <w:style w:type="paragraph" w:customStyle="1" w:styleId="14">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
    <w:name w:val="NormalCharacter"/>
    <w:qFormat/>
    <w:uiPriority w:val="99"/>
  </w:style>
  <w:style w:type="character" w:customStyle="1" w:styleId="16">
    <w:name w:val="on"/>
    <w:basedOn w:val="8"/>
    <w:qFormat/>
    <w:uiPriority w:val="0"/>
    <w:rPr>
      <w:color w:val="FFFFFF"/>
      <w:shd w:val="clear" w:fill="0066A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7127</Words>
  <Characters>7335</Characters>
  <Lines>0</Lines>
  <Paragraphs>0</Paragraphs>
  <TotalTime>5</TotalTime>
  <ScaleCrop>false</ScaleCrop>
  <LinksUpToDate>false</LinksUpToDate>
  <CharactersWithSpaces>7340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2020-10-27T13:06:00Z</dcterms:created>
  <dc:creator>Administrator</dc:creator>
  <cp:lastModifiedBy>lenovo</cp:lastModifiedBy>
  <cp:lastPrinted>2021-12-03T03:27:00Z</cp:lastPrinted>
  <dcterms:modified xsi:type="dcterms:W3CDTF">2023-02-08T09:47:28Z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1EDFA41DBC524F26B0BE63B6C30C4FEF</vt:lpwstr>
  </property>
</Properties>
</file>