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hint="eastAsia" w:ascii="仿宋_GB2312" w:eastAsia="仿宋_GB2312"/>
          <w:kern w:val="0"/>
          <w:sz w:val="24"/>
          <w:szCs w:val="21"/>
        </w:rPr>
      </w:pPr>
      <w:r>
        <w:rPr>
          <w:rFonts w:hint="eastAsia" w:eastAsia="方正小标宋_GBK"/>
          <w:bCs/>
          <w:kern w:val="0"/>
          <w:sz w:val="36"/>
          <w:szCs w:val="36"/>
          <w:lang w:val="en-US" w:eastAsia="zh-CN"/>
        </w:rPr>
        <w:t>2022</w:t>
      </w:r>
      <w:r>
        <w:rPr>
          <w:rFonts w:eastAsia="方正小标宋_GBK"/>
          <w:bCs/>
          <w:kern w:val="0"/>
          <w:sz w:val="36"/>
          <w:szCs w:val="36"/>
        </w:rPr>
        <w:t>年</w:t>
      </w:r>
      <w:r>
        <w:rPr>
          <w:rFonts w:hint="eastAsia" w:eastAsia="方正小标宋_GBK"/>
          <w:bCs/>
          <w:kern w:val="0"/>
          <w:sz w:val="36"/>
          <w:szCs w:val="36"/>
          <w:lang w:val="en-US" w:eastAsia="zh-CN"/>
        </w:rPr>
        <w:t>祝融街道财政所</w:t>
      </w:r>
      <w:r>
        <w:rPr>
          <w:rFonts w:eastAsia="方正小标宋_GBK"/>
          <w:bCs/>
          <w:kern w:val="0"/>
          <w:sz w:val="36"/>
          <w:szCs w:val="36"/>
        </w:rPr>
        <w:t>部门整体支出绩效目标表</w:t>
      </w:r>
      <w:bookmarkStart w:id="0" w:name="_GoBack"/>
      <w:bookmarkEnd w:id="0"/>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填报单位：（盖章）</w:t>
      </w:r>
      <w:r>
        <w:rPr>
          <w:rFonts w:hint="eastAsia" w:ascii="仿宋_GB2312" w:eastAsia="仿宋_GB2312"/>
          <w:kern w:val="0"/>
          <w:szCs w:val="21"/>
        </w:rPr>
        <w:tab/>
      </w:r>
    </w:p>
    <w:tbl>
      <w:tblPr>
        <w:tblStyle w:val="3"/>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722"/>
        <w:gridCol w:w="1071"/>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681" w:type="dxa"/>
            <w:gridSpan w:val="5"/>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　南岳区祝融街道财政所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7681" w:type="dxa"/>
            <w:gridSpan w:val="5"/>
            <w:shd w:val="clear" w:color="auto" w:fill="auto"/>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3940" w:type="dxa"/>
            <w:gridSpan w:val="3"/>
            <w:shd w:val="clear" w:color="auto" w:fill="auto"/>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按收入性质分：</w:t>
            </w:r>
            <w:r>
              <w:rPr>
                <w:rFonts w:hint="eastAsia" w:ascii="仿宋_GB2312" w:eastAsia="仿宋_GB2312"/>
                <w:kern w:val="0"/>
                <w:szCs w:val="21"/>
                <w:lang w:val="en-US" w:eastAsia="zh-CN"/>
              </w:rPr>
              <w:t>54.19</w:t>
            </w:r>
          </w:p>
        </w:tc>
        <w:tc>
          <w:tcPr>
            <w:tcW w:w="3741" w:type="dxa"/>
            <w:gridSpan w:val="2"/>
            <w:shd w:val="clear" w:color="auto" w:fill="auto"/>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按支出性质分：</w:t>
            </w:r>
            <w:r>
              <w:rPr>
                <w:rFonts w:hint="eastAsia" w:ascii="仿宋_GB2312" w:eastAsia="仿宋_GB2312"/>
                <w:kern w:val="0"/>
                <w:szCs w:val="21"/>
                <w:lang w:val="en-US" w:eastAsia="zh-CN"/>
              </w:rPr>
              <w:t>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3940" w:type="dxa"/>
            <w:gridSpan w:val="3"/>
            <w:shd w:val="clear" w:color="auto" w:fill="auto"/>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54.19</w:t>
            </w:r>
          </w:p>
        </w:tc>
        <w:tc>
          <w:tcPr>
            <w:tcW w:w="3741" w:type="dxa"/>
            <w:gridSpan w:val="2"/>
            <w:shd w:val="clear" w:color="auto" w:fill="auto"/>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3940" w:type="dxa"/>
            <w:gridSpan w:val="3"/>
            <w:shd w:val="clear" w:color="auto" w:fill="auto"/>
            <w:vAlign w:val="center"/>
          </w:tcPr>
          <w:p>
            <w:pPr>
              <w:widowControl/>
              <w:jc w:val="left"/>
              <w:rPr>
                <w:rFonts w:hint="eastAsia" w:ascii="仿宋_GB2312" w:eastAsia="仿宋_GB2312"/>
                <w:kern w:val="0"/>
                <w:szCs w:val="21"/>
                <w:lang w:val="en-US" w:eastAsia="zh-CN"/>
              </w:rPr>
            </w:pPr>
            <w:r>
              <w:rPr>
                <w:rFonts w:hint="eastAsia" w:ascii="仿宋_GB2312" w:eastAsia="仿宋_GB2312"/>
                <w:kern w:val="0"/>
                <w:szCs w:val="21"/>
              </w:rPr>
              <w:t xml:space="preserve">       政府性基金拨款：</w:t>
            </w:r>
            <w:r>
              <w:rPr>
                <w:rFonts w:hint="eastAsia" w:ascii="仿宋_GB2312" w:eastAsia="仿宋_GB2312"/>
                <w:kern w:val="0"/>
                <w:szCs w:val="21"/>
                <w:lang w:val="en-US" w:eastAsia="zh-CN"/>
              </w:rPr>
              <w:t>0</w:t>
            </w:r>
          </w:p>
        </w:tc>
        <w:tc>
          <w:tcPr>
            <w:tcW w:w="3741" w:type="dxa"/>
            <w:gridSpan w:val="2"/>
            <w:shd w:val="clear" w:color="auto" w:fill="auto"/>
            <w:vAlign w:val="center"/>
          </w:tcPr>
          <w:p>
            <w:pPr>
              <w:widowControl/>
              <w:jc w:val="left"/>
              <w:rPr>
                <w:rFonts w:hint="eastAsia"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3940" w:type="dxa"/>
            <w:gridSpan w:val="3"/>
            <w:shd w:val="clear" w:color="auto" w:fill="auto"/>
            <w:vAlign w:val="center"/>
          </w:tcPr>
          <w:p>
            <w:pPr>
              <w:widowControl/>
              <w:jc w:val="left"/>
              <w:rPr>
                <w:rFonts w:hint="eastAsia" w:ascii="仿宋_GB2312" w:eastAsia="仿宋_GB2312"/>
                <w:kern w:val="0"/>
                <w:szCs w:val="21"/>
                <w:lang w:val="en-US" w:eastAsia="zh-CN"/>
              </w:rPr>
            </w:pPr>
            <w:r>
              <w:rPr>
                <w:rFonts w:hint="eastAsia" w:ascii="仿宋_GB2312" w:eastAsia="仿宋_GB2312"/>
                <w:kern w:val="0"/>
                <w:szCs w:val="21"/>
              </w:rPr>
              <w:t>纳入专户管理的非税收入拨款：</w:t>
            </w:r>
            <w:r>
              <w:rPr>
                <w:rFonts w:hint="eastAsia" w:ascii="仿宋_GB2312" w:eastAsia="仿宋_GB2312"/>
                <w:kern w:val="0"/>
                <w:szCs w:val="21"/>
                <w:lang w:val="en-US" w:eastAsia="zh-CN"/>
              </w:rPr>
              <w:t>0</w:t>
            </w:r>
          </w:p>
        </w:tc>
        <w:tc>
          <w:tcPr>
            <w:tcW w:w="3741" w:type="dxa"/>
            <w:gridSpan w:val="2"/>
            <w:shd w:val="clear" w:color="auto" w:fill="auto"/>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3940" w:type="dxa"/>
            <w:gridSpan w:val="3"/>
            <w:shd w:val="clear" w:color="auto" w:fill="auto"/>
            <w:vAlign w:val="center"/>
          </w:tcPr>
          <w:p>
            <w:pPr>
              <w:widowControl/>
              <w:jc w:val="left"/>
              <w:rPr>
                <w:rFonts w:hint="eastAsia" w:ascii="仿宋_GB2312" w:eastAsia="仿宋_GB2312"/>
                <w:kern w:val="0"/>
                <w:szCs w:val="21"/>
                <w:lang w:val="en-US" w:eastAsia="zh-CN"/>
              </w:rPr>
            </w:pPr>
            <w:r>
              <w:rPr>
                <w:rFonts w:hint="eastAsia" w:ascii="仿宋_GB2312" w:eastAsia="仿宋_GB2312"/>
                <w:kern w:val="0"/>
                <w:szCs w:val="21"/>
              </w:rPr>
              <w:t xml:space="preserve">             其他资金：</w:t>
            </w:r>
            <w:r>
              <w:rPr>
                <w:rFonts w:hint="eastAsia" w:ascii="仿宋_GB2312" w:eastAsia="仿宋_GB2312"/>
                <w:kern w:val="0"/>
                <w:szCs w:val="21"/>
                <w:lang w:val="en-US" w:eastAsia="zh-CN"/>
              </w:rPr>
              <w:t>0</w:t>
            </w:r>
          </w:p>
        </w:tc>
        <w:tc>
          <w:tcPr>
            <w:tcW w:w="3741" w:type="dxa"/>
            <w:gridSpan w:val="2"/>
            <w:shd w:val="clear" w:color="auto" w:fill="auto"/>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681" w:type="dxa"/>
            <w:gridSpan w:val="5"/>
            <w:shd w:val="clear" w:color="auto" w:fill="auto"/>
            <w:vAlign w:val="center"/>
          </w:tcPr>
          <w:p>
            <w:pPr>
              <w:widowControl/>
              <w:numPr>
                <w:ilvl w:val="0"/>
                <w:numId w:val="1"/>
              </w:numPr>
              <w:jc w:val="left"/>
              <w:rPr>
                <w:rFonts w:hint="eastAsia" w:ascii="仿宋_GB2312" w:eastAsia="仿宋_GB2312"/>
                <w:kern w:val="0"/>
                <w:szCs w:val="21"/>
              </w:rPr>
            </w:pPr>
            <w:r>
              <w:rPr>
                <w:rFonts w:hint="eastAsia" w:ascii="仿宋_GB2312" w:eastAsia="仿宋_GB2312"/>
                <w:kern w:val="0"/>
                <w:szCs w:val="21"/>
              </w:rPr>
              <w:t>贯彻执行国家和省、市、区有关财政、税收的法律、法规、规章、方针政策和地方性规章制度。</w:t>
            </w:r>
          </w:p>
          <w:p>
            <w:pPr>
              <w:widowControl/>
              <w:numPr>
                <w:numId w:val="0"/>
              </w:numPr>
              <w:jc w:val="left"/>
              <w:rPr>
                <w:rFonts w:hint="eastAsia" w:ascii="仿宋_GB2312" w:eastAsia="仿宋_GB2312"/>
                <w:kern w:val="0"/>
                <w:szCs w:val="21"/>
              </w:rPr>
            </w:pPr>
            <w:r>
              <w:rPr>
                <w:rFonts w:hint="eastAsia" w:ascii="仿宋_GB2312" w:eastAsia="仿宋_GB2312"/>
                <w:kern w:val="0"/>
                <w:szCs w:val="21"/>
              </w:rPr>
              <w:t>2．负责祝融街道办事处年度预决算编制、预算执行、预算调整和预算内外收支管理。负责祝融街道办事处的财务管理和核算；负责涉农及社会保障等专户资金的管理和核算；负责社区资金的核拨和监管；负责各项居民补贴的核拨和兑付工作。</w:t>
            </w:r>
          </w:p>
          <w:p>
            <w:pPr>
              <w:widowControl/>
              <w:jc w:val="left"/>
              <w:rPr>
                <w:rFonts w:hint="eastAsia" w:ascii="仿宋_GB2312" w:eastAsia="仿宋_GB2312"/>
                <w:kern w:val="0"/>
                <w:szCs w:val="21"/>
              </w:rPr>
            </w:pPr>
            <w:r>
              <w:rPr>
                <w:rFonts w:hint="eastAsia" w:ascii="仿宋_GB2312" w:eastAsia="仿宋_GB2312"/>
                <w:kern w:val="0"/>
                <w:szCs w:val="21"/>
              </w:rPr>
              <w:t xml:space="preserve">3．制订财政和预算收入计划；管理和监督各项财政收入。 </w:t>
            </w:r>
          </w:p>
          <w:p>
            <w:pPr>
              <w:widowControl/>
              <w:jc w:val="left"/>
              <w:rPr>
                <w:rFonts w:hint="eastAsia" w:ascii="仿宋_GB2312" w:eastAsia="仿宋_GB2312"/>
                <w:kern w:val="0"/>
                <w:szCs w:val="21"/>
              </w:rPr>
            </w:pPr>
            <w:r>
              <w:rPr>
                <w:rFonts w:hint="eastAsia" w:ascii="仿宋_GB2312" w:eastAsia="仿宋_GB2312"/>
                <w:kern w:val="0"/>
                <w:szCs w:val="21"/>
              </w:rPr>
              <w:t>4．管理和监督各项财政支出；管理街道预算内、外资金及各项政府性基金；管理财政票据。</w:t>
            </w:r>
          </w:p>
          <w:p>
            <w:pPr>
              <w:widowControl/>
              <w:jc w:val="left"/>
              <w:rPr>
                <w:rFonts w:hint="eastAsia" w:ascii="仿宋_GB2312" w:eastAsia="仿宋_GB2312"/>
                <w:kern w:val="0"/>
                <w:szCs w:val="21"/>
              </w:rPr>
            </w:pPr>
            <w:r>
              <w:rPr>
                <w:rFonts w:hint="eastAsia" w:ascii="仿宋_GB2312" w:eastAsia="仿宋_GB2312"/>
                <w:kern w:val="0"/>
                <w:szCs w:val="21"/>
              </w:rPr>
              <w:t>5．执行全区统一规定的行政事业单位开支标准和政府采购政策、制度。</w:t>
            </w:r>
          </w:p>
          <w:p>
            <w:pPr>
              <w:widowControl/>
              <w:jc w:val="left"/>
              <w:rPr>
                <w:rFonts w:hint="eastAsia" w:ascii="仿宋_GB2312" w:eastAsia="仿宋_GB2312"/>
                <w:kern w:val="0"/>
                <w:szCs w:val="21"/>
              </w:rPr>
            </w:pPr>
            <w:r>
              <w:rPr>
                <w:rFonts w:hint="eastAsia" w:ascii="仿宋_GB2312" w:eastAsia="仿宋_GB2312"/>
                <w:kern w:val="0"/>
                <w:szCs w:val="21"/>
              </w:rPr>
              <w:t>6．参与财政性资金项目安排总量研究；组织调度财政性基本建设资金；参与财政性资金投资项目的工程概、预算审核，负责对财政性资金投资项目的工程结算进行审核；监督执行政府采购政策。</w:t>
            </w:r>
          </w:p>
          <w:p>
            <w:pPr>
              <w:widowControl/>
              <w:jc w:val="left"/>
              <w:rPr>
                <w:rFonts w:hint="eastAsia" w:ascii="仿宋_GB2312" w:eastAsia="仿宋_GB2312"/>
                <w:kern w:val="0"/>
                <w:szCs w:val="21"/>
              </w:rPr>
            </w:pPr>
            <w:r>
              <w:rPr>
                <w:rFonts w:hint="eastAsia" w:ascii="仿宋_GB2312" w:eastAsia="仿宋_GB2312"/>
                <w:kern w:val="0"/>
                <w:szCs w:val="21"/>
              </w:rPr>
              <w:t>7．在南岳区党政门户网上负责办事处及财政所年度部门财务预算公开和决算公开。财政专项资金管理，按照专款专用的原则，管好、用好各项专项资金，对年度专项资金超过10万元以上的专项资金进行绩效评价。</w:t>
            </w:r>
          </w:p>
          <w:p>
            <w:pPr>
              <w:widowControl/>
              <w:jc w:val="left"/>
              <w:rPr>
                <w:rFonts w:hint="eastAsia" w:ascii="仿宋_GB2312" w:eastAsia="仿宋_GB2312"/>
                <w:kern w:val="0"/>
                <w:szCs w:val="21"/>
              </w:rPr>
            </w:pPr>
            <w:r>
              <w:rPr>
                <w:rFonts w:hint="eastAsia" w:ascii="仿宋_GB2312" w:eastAsia="仿宋_GB2312"/>
                <w:kern w:val="0"/>
                <w:szCs w:val="21"/>
              </w:rPr>
              <w:t>8．监督财税方针、政策、法规和财会制度的执行情况；检查、反映财政收支管理中的重大问题，提出加强财政管理的政策建议。完成领导交办的其他工作。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681" w:type="dxa"/>
            <w:gridSpan w:val="5"/>
            <w:shd w:val="clear" w:color="auto" w:fill="auto"/>
            <w:vAlign w:val="center"/>
          </w:tcPr>
          <w:p>
            <w:pPr>
              <w:widowControl/>
              <w:jc w:val="left"/>
              <w:rPr>
                <w:rFonts w:hint="eastAsia" w:ascii="仿宋_GB2312" w:eastAsia="仿宋_GB2312"/>
                <w:kern w:val="0"/>
                <w:szCs w:val="21"/>
              </w:rPr>
            </w:pPr>
            <w:r>
              <w:rPr>
                <w:rFonts w:hint="eastAsia" w:ascii="仿宋_GB2312" w:eastAsia="仿宋_GB2312"/>
                <w:kern w:val="0"/>
                <w:szCs w:val="21"/>
              </w:rPr>
              <w:t>在今年收支预算内，确保完成以下整体目标：</w:t>
            </w:r>
          </w:p>
          <w:p>
            <w:pPr>
              <w:widowControl/>
              <w:jc w:val="left"/>
              <w:rPr>
                <w:rFonts w:hint="eastAsia" w:ascii="仿宋_GB2312" w:eastAsia="仿宋_GB2312"/>
                <w:kern w:val="0"/>
                <w:szCs w:val="21"/>
              </w:rPr>
            </w:pPr>
            <w:r>
              <w:rPr>
                <w:rFonts w:hint="eastAsia" w:ascii="仿宋_GB2312" w:eastAsia="仿宋_GB2312"/>
                <w:kern w:val="0"/>
                <w:szCs w:val="21"/>
              </w:rPr>
              <w:t>目标1：保障财政所人员正常工资待遇，财政所工作正常运转；</w:t>
            </w:r>
          </w:p>
          <w:p>
            <w:pPr>
              <w:widowControl/>
              <w:jc w:val="left"/>
              <w:rPr>
                <w:rFonts w:hint="eastAsia" w:ascii="仿宋_GB2312" w:eastAsia="仿宋_GB2312"/>
                <w:kern w:val="0"/>
                <w:szCs w:val="21"/>
              </w:rPr>
            </w:pPr>
            <w:r>
              <w:rPr>
                <w:rFonts w:hint="eastAsia" w:ascii="仿宋_GB2312" w:eastAsia="仿宋_GB2312"/>
                <w:kern w:val="0"/>
                <w:szCs w:val="21"/>
              </w:rPr>
              <w:t>目标2：管理和监督各项财政支出，财税方针、政策、法规和财会制度的执行情况和社区资金的核拨和监管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147"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722"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2183" w:type="dxa"/>
            <w:gridSpan w:val="2"/>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2629" w:type="dxa"/>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restart"/>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722" w:type="dxa"/>
            <w:vMerge w:val="restart"/>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财政所人员总数</w:t>
            </w:r>
          </w:p>
        </w:tc>
        <w:tc>
          <w:tcPr>
            <w:tcW w:w="2629"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vMerge w:val="continue"/>
            <w:tcBorders/>
            <w:shd w:val="clear" w:color="auto" w:fill="auto"/>
            <w:vAlign w:val="center"/>
          </w:tcPr>
          <w:p>
            <w:pPr>
              <w:jc w:val="center"/>
              <w:rPr>
                <w:rFonts w:hint="eastAsia" w:ascii="仿宋_GB2312" w:eastAsia="仿宋_GB2312"/>
                <w:kern w:val="0"/>
                <w:szCs w:val="21"/>
              </w:rPr>
            </w:pP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管理和监督资金总数</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w:t>
            </w:r>
            <w:r>
              <w:rPr>
                <w:rFonts w:hint="eastAsia" w:ascii="仿宋_GB2312" w:eastAsia="仿宋_GB2312"/>
                <w:kern w:val="0"/>
                <w:szCs w:val="21"/>
                <w:lang w:val="en-US" w:eastAsia="zh-CN"/>
              </w:rPr>
              <w:t>731.26万元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vMerge w:val="continue"/>
            <w:tcBorders/>
            <w:shd w:val="clear" w:color="auto" w:fill="auto"/>
            <w:vAlign w:val="center"/>
          </w:tcPr>
          <w:p>
            <w:pPr>
              <w:jc w:val="center"/>
              <w:rPr>
                <w:rFonts w:hint="eastAsia" w:ascii="仿宋_GB2312" w:eastAsia="仿宋_GB2312"/>
                <w:kern w:val="0"/>
                <w:szCs w:val="21"/>
              </w:rPr>
            </w:pP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管理和监督对象数</w:t>
            </w:r>
          </w:p>
        </w:tc>
        <w:tc>
          <w:tcPr>
            <w:tcW w:w="2629" w:type="dxa"/>
            <w:shd w:val="clear" w:color="auto" w:fill="auto"/>
            <w:vAlign w:val="center"/>
          </w:tcPr>
          <w:p>
            <w:pPr>
              <w:jc w:val="center"/>
              <w:rPr>
                <w:rFonts w:hint="default" w:ascii="仿宋_GB2312" w:eastAsia="仿宋_GB2312"/>
                <w:kern w:val="0"/>
                <w:szCs w:val="21"/>
                <w:lang w:val="en-US" w:eastAsia="zh-CN"/>
              </w:rPr>
            </w:pPr>
            <w:r>
              <w:rPr>
                <w:rFonts w:hint="eastAsia" w:ascii="仿宋_GB2312" w:eastAsia="仿宋_GB2312"/>
                <w:kern w:val="0"/>
                <w:szCs w:val="21"/>
                <w:lang w:val="en-US" w:eastAsia="zh-CN"/>
              </w:rPr>
              <w:t>=街道办事处和4个社区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年底绩效考核合格率</w:t>
            </w:r>
          </w:p>
        </w:tc>
        <w:tc>
          <w:tcPr>
            <w:tcW w:w="2629"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财政所人员工资待遇、工作正常运转总金额</w:t>
            </w:r>
          </w:p>
        </w:tc>
        <w:tc>
          <w:tcPr>
            <w:tcW w:w="2629"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54.19</w:t>
            </w:r>
            <w:r>
              <w:rPr>
                <w:rFonts w:hint="eastAsia" w:ascii="仿宋_GB2312"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vMerge w:val="restart"/>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财政所工作正常运转时间</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vMerge w:val="continue"/>
            <w:tcBorders/>
            <w:shd w:val="clear" w:color="auto" w:fill="auto"/>
            <w:vAlign w:val="center"/>
          </w:tcPr>
          <w:p>
            <w:pPr>
              <w:jc w:val="center"/>
              <w:rPr>
                <w:rFonts w:hint="eastAsia" w:ascii="仿宋_GB2312" w:eastAsia="仿宋_GB2312"/>
                <w:kern w:val="0"/>
                <w:szCs w:val="21"/>
              </w:rPr>
            </w:pP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工作任务目标完成</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vMerge w:val="continue"/>
            <w:tcBorders/>
            <w:shd w:val="clear" w:color="auto" w:fill="auto"/>
            <w:vAlign w:val="center"/>
          </w:tcPr>
          <w:p>
            <w:pPr>
              <w:jc w:val="center"/>
              <w:rPr>
                <w:rFonts w:hint="eastAsia" w:ascii="仿宋_GB2312" w:eastAsia="仿宋_GB2312"/>
                <w:kern w:val="0"/>
                <w:szCs w:val="21"/>
              </w:rPr>
            </w:pP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资金支付及时率</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restart"/>
            <w:shd w:val="clear" w:color="auto" w:fill="auto"/>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执行标的额到位率</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2183" w:type="dxa"/>
            <w:gridSpan w:val="2"/>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维护社会稳定</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eastAsia" w:ascii="仿宋_GB2312" w:eastAsia="仿宋_GB2312"/>
                <w:kern w:val="0"/>
                <w:szCs w:val="21"/>
                <w:lang w:val="en-US" w:eastAsia="zh-CN"/>
              </w:rPr>
              <w:t>人居环境改善</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有效提高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center"/>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2183" w:type="dxa"/>
            <w:gridSpan w:val="2"/>
            <w:shd w:val="clear" w:color="auto" w:fill="auto"/>
            <w:vAlign w:val="center"/>
          </w:tcPr>
          <w:p>
            <w:pPr>
              <w:jc w:val="center"/>
              <w:rPr>
                <w:rFonts w:hint="eastAsia" w:ascii="仿宋_GB2312" w:eastAsia="仿宋_GB2312"/>
                <w:kern w:val="0"/>
                <w:szCs w:val="21"/>
              </w:rPr>
            </w:pPr>
            <w:r>
              <w:rPr>
                <w:rFonts w:hint="default" w:ascii="仿宋_GB2312" w:eastAsia="仿宋_GB2312"/>
                <w:kern w:val="0"/>
                <w:szCs w:val="21"/>
                <w:lang w:val="en-US" w:eastAsia="zh-CN"/>
              </w:rPr>
              <w:t>是否可持续</w:t>
            </w:r>
          </w:p>
        </w:tc>
        <w:tc>
          <w:tcPr>
            <w:tcW w:w="2629" w:type="dxa"/>
            <w:shd w:val="clear" w:color="auto" w:fill="auto"/>
            <w:vAlign w:val="center"/>
          </w:tcPr>
          <w:p>
            <w:pPr>
              <w:jc w:val="center"/>
              <w:rPr>
                <w:rFonts w:hint="eastAsia" w:ascii="仿宋_GB2312" w:eastAsia="仿宋_GB2312"/>
                <w:kern w:val="0"/>
                <w:szCs w:val="21"/>
              </w:rPr>
            </w:pPr>
            <w:r>
              <w:rPr>
                <w:rFonts w:hint="default" w:ascii="仿宋_GB2312" w:eastAsia="仿宋_GB2312"/>
                <w:kern w:val="0"/>
                <w:szCs w:val="21"/>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vAlign w:val="center"/>
          </w:tcPr>
          <w:p>
            <w:pPr>
              <w:widowControl/>
              <w:jc w:val="left"/>
              <w:rPr>
                <w:rFonts w:hint="eastAsia" w:ascii="仿宋_GB2312" w:eastAsia="仿宋_GB2312"/>
                <w:kern w:val="0"/>
                <w:szCs w:val="21"/>
              </w:rPr>
            </w:pPr>
          </w:p>
        </w:tc>
        <w:tc>
          <w:tcPr>
            <w:tcW w:w="1147" w:type="dxa"/>
            <w:vMerge w:val="continue"/>
            <w:tcBorders/>
            <w:shd w:val="clear" w:color="auto" w:fill="auto"/>
            <w:vAlign w:val="center"/>
          </w:tcPr>
          <w:p>
            <w:pPr>
              <w:widowControl/>
              <w:jc w:val="center"/>
              <w:rPr>
                <w:rFonts w:hint="eastAsia" w:ascii="仿宋_GB2312" w:eastAsia="仿宋_GB2312"/>
                <w:kern w:val="0"/>
                <w:szCs w:val="21"/>
              </w:rPr>
            </w:pPr>
          </w:p>
        </w:tc>
        <w:tc>
          <w:tcPr>
            <w:tcW w:w="1722" w:type="dxa"/>
            <w:shd w:val="clear" w:color="auto" w:fill="auto"/>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2183" w:type="dxa"/>
            <w:gridSpan w:val="2"/>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群众满意度</w:t>
            </w:r>
          </w:p>
        </w:tc>
        <w:tc>
          <w:tcPr>
            <w:tcW w:w="2629" w:type="dxa"/>
            <w:shd w:val="clear" w:color="auto" w:fill="auto"/>
            <w:vAlign w:val="center"/>
          </w:tcPr>
          <w:p>
            <w:pPr>
              <w:jc w:val="center"/>
              <w:rPr>
                <w:rFonts w:hint="eastAsia" w:ascii="仿宋_GB2312" w:eastAsia="仿宋_GB2312"/>
                <w:kern w:val="0"/>
                <w:szCs w:val="21"/>
                <w:lang w:val="en-US" w:eastAsia="zh-CN"/>
              </w:rPr>
            </w:pPr>
            <w:r>
              <w:rPr>
                <w:rFonts w:hint="default" w:ascii="仿宋_GB2312" w:eastAsia="仿宋_GB2312"/>
                <w:kern w:val="0"/>
                <w:szCs w:val="21"/>
                <w:lang w:val="en-US" w:eastAsia="zh-CN"/>
              </w:rPr>
              <w:t>≥95%</w:t>
            </w:r>
          </w:p>
        </w:tc>
      </w:tr>
    </w:tbl>
    <w:p>
      <w:pPr>
        <w:widowControl/>
        <w:tabs>
          <w:tab w:val="left" w:pos="1333"/>
          <w:tab w:val="left" w:pos="3793"/>
          <w:tab w:val="left" w:pos="5853"/>
        </w:tabs>
        <w:jc w:val="left"/>
        <w:rPr>
          <w:rFonts w:hint="eastAsia" w:ascii="仿宋_GB2312" w:eastAsia="仿宋_GB2312"/>
          <w:kern w:val="0"/>
          <w:szCs w:val="21"/>
        </w:rPr>
      </w:pPr>
    </w:p>
    <w:p>
      <w:pPr>
        <w:widowControl/>
        <w:tabs>
          <w:tab w:val="left" w:pos="1333"/>
          <w:tab w:val="left" w:pos="3793"/>
          <w:tab w:val="left" w:pos="5853"/>
        </w:tabs>
        <w:jc w:val="left"/>
      </w:pPr>
      <w:r>
        <w:rPr>
          <w:rFonts w:hint="eastAsia" w:ascii="仿宋_GB2312" w:eastAsia="仿宋_GB2312"/>
          <w:kern w:val="0"/>
          <w:szCs w:val="21"/>
        </w:rPr>
        <w:t>填表人：</w:t>
      </w:r>
      <w:r>
        <w:rPr>
          <w:rFonts w:hint="eastAsia" w:ascii="仿宋_GB2312" w:eastAsia="仿宋_GB2312"/>
          <w:kern w:val="0"/>
          <w:szCs w:val="21"/>
          <w:lang w:val="en-US" w:eastAsia="zh-CN"/>
        </w:rPr>
        <w:t>刘梓欣</w:t>
      </w:r>
      <w:r>
        <w:rPr>
          <w:rFonts w:hint="eastAsia" w:ascii="仿宋_GB2312" w:eastAsia="仿宋_GB2312"/>
          <w:kern w:val="0"/>
          <w:szCs w:val="21"/>
        </w:rPr>
        <w:t xml:space="preserve"> 联系电话：</w:t>
      </w:r>
      <w:r>
        <w:rPr>
          <w:rFonts w:hint="eastAsia" w:ascii="仿宋_GB2312" w:eastAsia="仿宋_GB2312"/>
          <w:kern w:val="0"/>
          <w:szCs w:val="21"/>
          <w:lang w:val="en-US" w:eastAsia="zh-CN"/>
        </w:rPr>
        <w:t>15973431512</w:t>
      </w:r>
      <w:r>
        <w:rPr>
          <w:rFonts w:hint="eastAsia" w:ascii="仿宋_GB2312" w:eastAsia="仿宋_GB2312"/>
          <w:kern w:val="0"/>
          <w:szCs w:val="21"/>
        </w:rPr>
        <w:t xml:space="preserve"> 填报日期：</w:t>
      </w:r>
      <w:r>
        <w:rPr>
          <w:rFonts w:hint="eastAsia" w:ascii="仿宋_GB2312" w:eastAsia="仿宋_GB2312"/>
          <w:kern w:val="0"/>
          <w:szCs w:val="21"/>
          <w:lang w:val="en-US" w:eastAsia="zh-CN"/>
        </w:rPr>
        <w:t>2023年2月10日</w:t>
      </w:r>
      <w:r>
        <w:rPr>
          <w:rFonts w:hint="eastAsia" w:ascii="仿宋_GB2312" w:eastAsia="仿宋_GB2312"/>
          <w:kern w:val="0"/>
          <w:szCs w:val="21"/>
        </w:rPr>
        <w:t xml:space="preserve">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3B761"/>
    <w:multiLevelType w:val="singleLevel"/>
    <w:tmpl w:val="8823B7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jgwYjk4YzlmMjgwYmExOGE0YjIzODgyNDQ1ODcifQ=="/>
  </w:docVars>
  <w:rsids>
    <w:rsidRoot w:val="00000000"/>
    <w:rsid w:val="07B37392"/>
    <w:rsid w:val="1C086A65"/>
    <w:rsid w:val="63BA0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485</Words>
  <Characters>512</Characters>
  <Lines>0</Lines>
  <Paragraphs>0</Paragraphs>
  <TotalTime>2</TotalTime>
  <ScaleCrop>false</ScaleCrop>
  <LinksUpToDate>false</LinksUpToDate>
  <CharactersWithSpaces>622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2023-02-11T09:38:00Z</dcterms:created>
  <dc:creator>lenovo</dc:creator>
  <cp:lastModifiedBy>刘梓欣</cp:lastModifiedBy>
  <dcterms:modified xsi:type="dcterms:W3CDTF">2023-02-12T09:38:32Z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032B0BC1F0D64E9684EF4EB5FC057320</vt:lpwstr>
  </property>
</Properties>
</file>