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南岳区环境卫生所</w:t>
      </w:r>
      <w:r>
        <w:rPr>
          <w:rFonts w:hint="eastAsia" w:ascii="仿宋_GB2312" w:hAnsi="仿宋_GB2312" w:eastAsia="仿宋_GB2312" w:cs="仿宋_GB2312"/>
          <w:b/>
          <w:bCs/>
          <w:sz w:val="44"/>
          <w:szCs w:val="44"/>
          <w:lang w:val="en-US" w:eastAsia="zh-CN"/>
        </w:rPr>
        <w:t>2021年</w:t>
      </w: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整体支出绩效自评报告</w:t>
      </w:r>
    </w:p>
    <w:p>
      <w:pPr>
        <w:jc w:val="both"/>
        <w:rPr>
          <w:rFonts w:hint="eastAsia"/>
          <w:sz w:val="30"/>
          <w:szCs w:val="30"/>
          <w:lang w:eastAsia="zh-CN"/>
        </w:rPr>
      </w:pP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lang w:eastAsia="zh-CN"/>
        </w:rPr>
        <w:t>单位</w:t>
      </w:r>
      <w:r>
        <w:rPr>
          <w:rFonts w:eastAsia="仿宋_GB2312"/>
          <w:sz w:val="32"/>
          <w:szCs w:val="32"/>
        </w:rPr>
        <w:t>对部门整体支出进行了绩效评价，现报告如下：</w:t>
      </w:r>
    </w:p>
    <w:p>
      <w:pPr>
        <w:spacing w:beforeLines="0" w:afterLines="0" w:line="520" w:lineRule="exact"/>
        <w:ind w:firstLine="64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黑体" w:eastAsia="黑体"/>
          <w:sz w:val="32"/>
        </w:rPr>
        <w:t>部门（单位）情况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beforeLines="0" w:afterLines="0" w:line="520" w:lineRule="exact"/>
        <w:ind w:left="840" w:hanging="200"/>
        <w:rPr>
          <w:rFonts w:hint="eastAsia" w:ascii="仿宋" w:hAnsi="仿宋" w:eastAsia="仿宋"/>
          <w:sz w:val="32"/>
        </w:rPr>
      </w:pPr>
      <w:r>
        <w:rPr>
          <w:rFonts w:hint="eastAsia" w:ascii="仿宋" w:hAnsi="仿宋" w:eastAsia="仿宋"/>
          <w:sz w:val="32"/>
          <w:lang w:eastAsia="zh-CN"/>
        </w:rPr>
        <w:t>（</w:t>
      </w:r>
      <w:r>
        <w:rPr>
          <w:rFonts w:hint="eastAsia" w:ascii="仿宋" w:hAnsi="仿宋" w:eastAsia="仿宋"/>
          <w:sz w:val="32"/>
          <w:lang w:val="en-US" w:eastAsia="zh-CN"/>
        </w:rPr>
        <w:t>1</w:t>
      </w:r>
      <w:r>
        <w:rPr>
          <w:rFonts w:hint="eastAsia" w:ascii="仿宋" w:hAnsi="仿宋" w:eastAsia="仿宋"/>
          <w:sz w:val="32"/>
          <w:lang w:eastAsia="zh-CN"/>
        </w:rPr>
        <w:t>）</w:t>
      </w:r>
      <w:r>
        <w:rPr>
          <w:rFonts w:hint="eastAsia" w:ascii="仿宋" w:hAnsi="仿宋" w:eastAsia="仿宋"/>
          <w:sz w:val="32"/>
        </w:rPr>
        <w:t>为维护城市环境卫生提供管理保障；</w:t>
      </w:r>
    </w:p>
    <w:p>
      <w:pPr>
        <w:spacing w:beforeLines="0" w:afterLines="0" w:line="520" w:lineRule="exact"/>
        <w:ind w:left="840" w:hanging="200"/>
        <w:rPr>
          <w:rFonts w:hint="eastAsia" w:ascii="仿宋" w:hAnsi="仿宋" w:eastAsia="仿宋"/>
          <w:sz w:val="32"/>
        </w:rPr>
      </w:pPr>
      <w:r>
        <w:rPr>
          <w:rFonts w:hint="eastAsia" w:ascii="仿宋" w:hAnsi="仿宋" w:eastAsia="仿宋"/>
          <w:sz w:val="32"/>
          <w:lang w:eastAsia="zh-CN"/>
        </w:rPr>
        <w:t>（</w:t>
      </w:r>
      <w:r>
        <w:rPr>
          <w:rFonts w:hint="eastAsia" w:ascii="仿宋" w:hAnsi="仿宋" w:eastAsia="仿宋"/>
          <w:sz w:val="32"/>
          <w:lang w:val="en-US" w:eastAsia="zh-CN"/>
        </w:rPr>
        <w:t>2</w:t>
      </w:r>
      <w:r>
        <w:rPr>
          <w:rFonts w:hint="eastAsia" w:ascii="仿宋" w:hAnsi="仿宋" w:eastAsia="仿宋"/>
          <w:sz w:val="32"/>
          <w:lang w:eastAsia="zh-CN"/>
        </w:rPr>
        <w:t>）</w:t>
      </w:r>
      <w:r>
        <w:rPr>
          <w:rFonts w:hint="eastAsia" w:ascii="仿宋" w:hAnsi="仿宋" w:eastAsia="仿宋"/>
          <w:sz w:val="32"/>
        </w:rPr>
        <w:t>城市环境卫生设施建设、运营和维护；</w:t>
      </w:r>
    </w:p>
    <w:p>
      <w:pPr>
        <w:spacing w:beforeLines="0" w:afterLines="0" w:line="520" w:lineRule="exact"/>
        <w:ind w:left="840" w:hanging="200"/>
        <w:rPr>
          <w:rFonts w:hint="eastAsia" w:ascii="仿宋" w:hAnsi="仿宋" w:eastAsia="仿宋"/>
          <w:sz w:val="32"/>
        </w:rPr>
      </w:pPr>
      <w:r>
        <w:rPr>
          <w:rFonts w:hint="eastAsia" w:ascii="仿宋" w:hAnsi="仿宋" w:eastAsia="仿宋"/>
          <w:sz w:val="32"/>
          <w:lang w:eastAsia="zh-CN"/>
        </w:rPr>
        <w:t>（</w:t>
      </w:r>
      <w:r>
        <w:rPr>
          <w:rFonts w:hint="eastAsia" w:ascii="仿宋" w:hAnsi="仿宋" w:eastAsia="仿宋"/>
          <w:sz w:val="32"/>
          <w:lang w:val="en-US" w:eastAsia="zh-CN"/>
        </w:rPr>
        <w:t>3</w:t>
      </w:r>
      <w:r>
        <w:rPr>
          <w:rFonts w:hint="eastAsia" w:ascii="仿宋" w:hAnsi="仿宋" w:eastAsia="仿宋"/>
          <w:sz w:val="32"/>
          <w:lang w:eastAsia="zh-CN"/>
        </w:rPr>
        <w:t>）</w:t>
      </w:r>
      <w:r>
        <w:rPr>
          <w:rFonts w:hint="eastAsia" w:ascii="仿宋" w:hAnsi="仿宋" w:eastAsia="仿宋"/>
          <w:sz w:val="32"/>
        </w:rPr>
        <w:t>环境卫生监督作业管理（相关社会服务）。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spacing w:beforeLines="0" w:afterLines="0" w:line="520" w:lineRule="exact"/>
        <w:ind w:firstLine="640"/>
        <w:rPr>
          <w:rFonts w:hint="eastAsia" w:ascii="仿宋" w:hAnsi="仿宋" w:eastAsia="仿宋"/>
          <w:sz w:val="32"/>
        </w:rPr>
      </w:pPr>
      <w:r>
        <w:rPr>
          <w:rFonts w:hint="eastAsia" w:ascii="仿宋" w:hAnsi="仿宋" w:eastAsia="仿宋"/>
          <w:sz w:val="32"/>
        </w:rPr>
        <w:t>20</w:t>
      </w:r>
      <w:r>
        <w:rPr>
          <w:rFonts w:hint="eastAsia" w:ascii="仿宋" w:hAnsi="仿宋" w:eastAsia="仿宋"/>
          <w:sz w:val="32"/>
          <w:lang w:val="en-US" w:eastAsia="zh-CN"/>
        </w:rPr>
        <w:t>19</w:t>
      </w:r>
      <w:r>
        <w:rPr>
          <w:rFonts w:hint="eastAsia" w:ascii="仿宋" w:hAnsi="仿宋" w:eastAsia="仿宋"/>
          <w:sz w:val="32"/>
        </w:rPr>
        <w:t>年本单位机构改革，由原衡阳市南岳区环境卫生管理局变更为南岳区环境卫生所，确定为财政全额拨款公益一类事业单位。内设股室</w:t>
      </w:r>
      <w:r>
        <w:rPr>
          <w:rFonts w:hint="eastAsia" w:ascii="仿宋" w:hAnsi="仿宋" w:eastAsia="仿宋"/>
          <w:sz w:val="32"/>
          <w:lang w:val="en-US" w:eastAsia="zh-CN"/>
        </w:rPr>
        <w:t>7</w:t>
      </w:r>
      <w:r>
        <w:rPr>
          <w:rFonts w:hint="eastAsia" w:ascii="仿宋" w:hAnsi="仿宋" w:eastAsia="仿宋"/>
          <w:sz w:val="32"/>
        </w:rPr>
        <w:t>个，分别是办公室、基础设施建设股、财务室、行业管理股、</w:t>
      </w:r>
      <w:r>
        <w:rPr>
          <w:rFonts w:hint="eastAsia" w:ascii="仿宋" w:hAnsi="仿宋" w:eastAsia="仿宋"/>
          <w:sz w:val="32"/>
          <w:lang w:eastAsia="zh-CN"/>
        </w:rPr>
        <w:t>综合管理股、驻南岳镇环卫站、区</w:t>
      </w:r>
      <w:r>
        <w:rPr>
          <w:rFonts w:hint="eastAsia" w:ascii="仿宋" w:hAnsi="仿宋" w:eastAsia="仿宋"/>
          <w:sz w:val="32"/>
        </w:rPr>
        <w:t>生活垃圾中转站。</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widowControl/>
        <w:snapToGrid/>
        <w:spacing w:line="600" w:lineRule="exact"/>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21</w:t>
      </w:r>
      <w:r>
        <w:rPr>
          <w:rFonts w:eastAsia="仿宋_GB2312"/>
          <w:sz w:val="32"/>
          <w:szCs w:val="32"/>
        </w:rPr>
        <w:t>年末，我单位共有编制</w:t>
      </w:r>
      <w:r>
        <w:rPr>
          <w:rFonts w:hint="eastAsia" w:eastAsia="仿宋_GB2312"/>
          <w:sz w:val="32"/>
          <w:szCs w:val="32"/>
          <w:lang w:val="en-US" w:eastAsia="zh-CN"/>
        </w:rPr>
        <w:t>24</w:t>
      </w:r>
      <w:r>
        <w:rPr>
          <w:rFonts w:eastAsia="仿宋_GB2312"/>
          <w:sz w:val="32"/>
          <w:szCs w:val="32"/>
        </w:rPr>
        <w:t>人，</w:t>
      </w:r>
      <w:r>
        <w:rPr>
          <w:rFonts w:eastAsia="仿宋_GB2312"/>
          <w:bCs/>
          <w:kern w:val="0"/>
          <w:sz w:val="32"/>
          <w:szCs w:val="32"/>
        </w:rPr>
        <w:t>搬迁安置</w:t>
      </w:r>
      <w:r>
        <w:rPr>
          <w:rFonts w:hint="eastAsia" w:eastAsia="仿宋_GB2312"/>
          <w:bCs/>
          <w:kern w:val="0"/>
          <w:sz w:val="32"/>
          <w:szCs w:val="32"/>
          <w:lang w:val="en-US" w:eastAsia="zh-CN"/>
        </w:rPr>
        <w:t>33</w:t>
      </w:r>
      <w:r>
        <w:rPr>
          <w:rFonts w:eastAsia="仿宋_GB2312"/>
          <w:bCs/>
          <w:kern w:val="0"/>
          <w:sz w:val="32"/>
          <w:szCs w:val="32"/>
        </w:rPr>
        <w:t>人</w:t>
      </w:r>
      <w:r>
        <w:rPr>
          <w:rFonts w:hint="eastAsia" w:eastAsia="仿宋_GB2312"/>
          <w:bCs/>
          <w:kern w:val="0"/>
          <w:sz w:val="32"/>
          <w:szCs w:val="32"/>
          <w:lang w:eastAsia="zh-CN"/>
        </w:rPr>
        <w:t>，</w:t>
      </w:r>
      <w:r>
        <w:rPr>
          <w:rFonts w:eastAsia="仿宋_GB2312"/>
          <w:sz w:val="32"/>
          <w:szCs w:val="32"/>
        </w:rPr>
        <w:t>其</w:t>
      </w:r>
      <w:r>
        <w:rPr>
          <w:rFonts w:hint="eastAsia" w:eastAsia="仿宋_GB2312"/>
          <w:sz w:val="32"/>
          <w:szCs w:val="32"/>
          <w:lang w:eastAsia="zh-CN"/>
        </w:rPr>
        <w:t>中</w:t>
      </w:r>
      <w:r>
        <w:rPr>
          <w:rFonts w:eastAsia="仿宋_GB2312"/>
          <w:sz w:val="32"/>
          <w:szCs w:val="32"/>
        </w:rPr>
        <w:t>事业编制</w:t>
      </w:r>
      <w:r>
        <w:rPr>
          <w:rFonts w:hint="eastAsia" w:eastAsia="仿宋_GB2312"/>
          <w:sz w:val="32"/>
          <w:szCs w:val="32"/>
          <w:lang w:val="en-US" w:eastAsia="zh-CN"/>
        </w:rPr>
        <w:t>24</w:t>
      </w:r>
      <w:r>
        <w:rPr>
          <w:rFonts w:eastAsia="仿宋_GB2312"/>
          <w:sz w:val="32"/>
          <w:szCs w:val="32"/>
        </w:rPr>
        <w:t>人。年末实有在职人员</w:t>
      </w:r>
      <w:r>
        <w:rPr>
          <w:rFonts w:hint="eastAsia" w:eastAsia="仿宋_GB2312"/>
          <w:sz w:val="32"/>
          <w:szCs w:val="32"/>
          <w:lang w:val="en-US" w:eastAsia="zh-CN"/>
        </w:rPr>
        <w:t>57</w:t>
      </w:r>
      <w:r>
        <w:rPr>
          <w:rFonts w:eastAsia="仿宋_GB2312"/>
          <w:sz w:val="32"/>
          <w:szCs w:val="32"/>
        </w:rPr>
        <w:t>人，离休人员</w:t>
      </w:r>
      <w:r>
        <w:rPr>
          <w:rFonts w:hint="eastAsia" w:eastAsia="仿宋_GB2312"/>
          <w:sz w:val="32"/>
          <w:szCs w:val="32"/>
          <w:lang w:val="en-US" w:eastAsia="zh-CN"/>
        </w:rPr>
        <w:t>39</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基本支出系保障我厅机构正常运转、完成日常工作任务而发生的各项支出，包括用于在职和离退休人员基本工资、津贴补贴等人员经费以及办公费、印刷费、水电费、办公设备购置等日常公用经费。20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21</w:t>
      </w:r>
      <w:r>
        <w:rPr>
          <w:rFonts w:eastAsia="仿宋_GB2312"/>
          <w:sz w:val="32"/>
          <w:szCs w:val="32"/>
        </w:rPr>
        <w:t>年基本支出</w:t>
      </w:r>
      <w:r>
        <w:rPr>
          <w:rFonts w:hint="eastAsia" w:ascii="仿宋_GB2312" w:hAnsi="仿宋" w:eastAsia="仿宋_GB2312"/>
          <w:sz w:val="32"/>
          <w:szCs w:val="32"/>
          <w:lang w:val="en-US" w:eastAsia="zh-CN"/>
        </w:rPr>
        <w:t>基本支出850.91万元，较上年减少103.2万元</w:t>
      </w:r>
      <w:r>
        <w:rPr>
          <w:rFonts w:eastAsia="仿宋_GB2312"/>
          <w:sz w:val="32"/>
          <w:szCs w:val="32"/>
        </w:rPr>
        <w:t>。</w:t>
      </w:r>
      <w:r>
        <w:rPr>
          <w:rFonts w:eastAsia="仿宋_GB2312"/>
          <w:color w:val="000000"/>
          <w:sz w:val="32"/>
          <w:szCs w:val="32"/>
        </w:rPr>
        <w:t>基本支出中人员经费</w:t>
      </w:r>
      <w:r>
        <w:rPr>
          <w:rFonts w:hint="eastAsia" w:ascii="仿宋_GB2312" w:hAnsi="仿宋" w:eastAsia="仿宋_GB2312"/>
          <w:sz w:val="32"/>
          <w:szCs w:val="32"/>
          <w:lang w:val="en-US" w:eastAsia="zh-CN"/>
        </w:rPr>
        <w:t>767.23</w:t>
      </w:r>
      <w:r>
        <w:rPr>
          <w:rFonts w:eastAsia="仿宋_GB2312"/>
          <w:color w:val="000000"/>
          <w:sz w:val="32"/>
          <w:szCs w:val="32"/>
        </w:rPr>
        <w:t>万元，占基本支出的</w:t>
      </w:r>
      <w:r>
        <w:rPr>
          <w:rFonts w:hint="eastAsia" w:eastAsia="仿宋_GB2312"/>
          <w:color w:val="000000"/>
          <w:sz w:val="32"/>
          <w:szCs w:val="32"/>
          <w:lang w:val="en-US" w:eastAsia="zh-CN"/>
        </w:rPr>
        <w:t>90.16</w:t>
      </w:r>
      <w:r>
        <w:rPr>
          <w:rFonts w:eastAsia="仿宋_GB2312"/>
          <w:color w:val="000000"/>
          <w:sz w:val="32"/>
          <w:szCs w:val="32"/>
        </w:rPr>
        <w:t>%，</w:t>
      </w:r>
      <w:r>
        <w:rPr>
          <w:rFonts w:hint="eastAsia" w:eastAsia="仿宋_GB2312"/>
          <w:color w:val="000000"/>
          <w:sz w:val="32"/>
          <w:szCs w:val="32"/>
          <w:lang w:eastAsia="zh-CN"/>
        </w:rPr>
        <w:t>与上年基本持平；</w:t>
      </w:r>
      <w:r>
        <w:rPr>
          <w:rFonts w:eastAsia="仿宋_GB2312"/>
          <w:color w:val="000000"/>
          <w:sz w:val="32"/>
          <w:szCs w:val="32"/>
        </w:rPr>
        <w:t>日常公用经费</w:t>
      </w:r>
      <w:r>
        <w:rPr>
          <w:rFonts w:hint="eastAsia" w:eastAsia="仿宋_GB2312"/>
          <w:color w:val="000000"/>
          <w:sz w:val="32"/>
          <w:szCs w:val="32"/>
          <w:lang w:val="en-US" w:eastAsia="zh-CN"/>
        </w:rPr>
        <w:t>83.68</w:t>
      </w:r>
      <w:r>
        <w:rPr>
          <w:rFonts w:eastAsia="仿宋_GB2312"/>
          <w:color w:val="000000"/>
          <w:sz w:val="32"/>
          <w:szCs w:val="32"/>
        </w:rPr>
        <w:t>万元，占基本支出的</w:t>
      </w:r>
      <w:r>
        <w:rPr>
          <w:rFonts w:hint="eastAsia" w:eastAsia="仿宋_GB2312"/>
          <w:color w:val="000000"/>
          <w:sz w:val="32"/>
          <w:szCs w:val="32"/>
          <w:lang w:val="en-US" w:eastAsia="zh-CN"/>
        </w:rPr>
        <w:t>9.84</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项目支出系我</w:t>
      </w:r>
      <w:r>
        <w:rPr>
          <w:rFonts w:hint="eastAsia" w:eastAsia="仿宋_GB2312"/>
          <w:sz w:val="32"/>
          <w:szCs w:val="32"/>
          <w:lang w:eastAsia="zh-CN"/>
        </w:rPr>
        <w:t>单位</w:t>
      </w:r>
      <w:r>
        <w:rPr>
          <w:rFonts w:eastAsia="仿宋_GB2312"/>
          <w:sz w:val="32"/>
          <w:szCs w:val="32"/>
        </w:rPr>
        <w:t>为完成</w:t>
      </w:r>
      <w:r>
        <w:rPr>
          <w:rFonts w:hint="eastAsia" w:eastAsia="仿宋_GB2312"/>
          <w:sz w:val="32"/>
          <w:szCs w:val="32"/>
          <w:lang w:eastAsia="zh-CN"/>
        </w:rPr>
        <w:t>环卫</w:t>
      </w:r>
      <w:r>
        <w:rPr>
          <w:rFonts w:eastAsia="仿宋_GB2312"/>
          <w:sz w:val="32"/>
          <w:szCs w:val="32"/>
        </w:rPr>
        <w:t>管理工作而发生的支出，包括业务工作经费和运行维护经费。业务工作经费支出主要用于</w:t>
      </w:r>
      <w:r>
        <w:rPr>
          <w:rFonts w:hint="eastAsia" w:eastAsia="仿宋_GB2312"/>
          <w:sz w:val="32"/>
          <w:szCs w:val="32"/>
          <w:lang w:eastAsia="zh-CN"/>
        </w:rPr>
        <w:t>环卫城区环境卫生外包服务、政府采购</w:t>
      </w:r>
      <w:r>
        <w:rPr>
          <w:rFonts w:eastAsia="仿宋_GB2312"/>
          <w:sz w:val="32"/>
          <w:szCs w:val="32"/>
        </w:rPr>
        <w:t>等全</w:t>
      </w:r>
      <w:r>
        <w:rPr>
          <w:rFonts w:hint="eastAsia" w:eastAsia="仿宋_GB2312"/>
          <w:sz w:val="32"/>
          <w:szCs w:val="32"/>
          <w:lang w:eastAsia="zh-CN"/>
        </w:rPr>
        <w:t>区性项目的运行</w:t>
      </w:r>
      <w:r>
        <w:rPr>
          <w:rFonts w:eastAsia="仿宋_GB2312"/>
          <w:sz w:val="32"/>
          <w:szCs w:val="32"/>
        </w:rPr>
        <w:t>等方面。20</w:t>
      </w:r>
      <w:r>
        <w:rPr>
          <w:rFonts w:hint="eastAsia" w:eastAsia="仿宋_GB2312"/>
          <w:sz w:val="32"/>
          <w:szCs w:val="32"/>
          <w:lang w:val="en-US" w:eastAsia="zh-CN"/>
        </w:rPr>
        <w:t>21</w:t>
      </w:r>
      <w:r>
        <w:rPr>
          <w:rFonts w:eastAsia="仿宋_GB2312"/>
          <w:sz w:val="32"/>
          <w:szCs w:val="32"/>
        </w:rPr>
        <w:t>年项目支出</w:t>
      </w:r>
      <w:r>
        <w:rPr>
          <w:rFonts w:hint="eastAsia" w:ascii="仿宋_GB2312" w:hAnsi="仿宋" w:eastAsia="仿宋_GB2312"/>
          <w:sz w:val="32"/>
          <w:szCs w:val="32"/>
          <w:lang w:val="en-US" w:eastAsia="zh-CN"/>
        </w:rPr>
        <w:t>2218.92</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75.93</w:t>
      </w:r>
      <w:r>
        <w:rPr>
          <w:rFonts w:eastAsia="仿宋_GB2312"/>
          <w:sz w:val="32"/>
          <w:szCs w:val="32"/>
        </w:rPr>
        <w:t>万元</w:t>
      </w:r>
      <w:r>
        <w:rPr>
          <w:rFonts w:hint="eastAsia" w:eastAsia="仿宋_GB2312"/>
          <w:sz w:val="32"/>
          <w:szCs w:val="32"/>
          <w:lang w:eastAsia="zh-CN"/>
        </w:rPr>
        <w:t>，</w:t>
      </w:r>
      <w:r>
        <w:rPr>
          <w:rFonts w:eastAsia="仿宋_GB2312"/>
          <w:sz w:val="32"/>
          <w:szCs w:val="32"/>
        </w:rPr>
        <w:t>主要是</w:t>
      </w:r>
      <w:r>
        <w:rPr>
          <w:rFonts w:hint="eastAsia" w:eastAsia="仿宋_GB2312"/>
          <w:sz w:val="32"/>
          <w:szCs w:val="32"/>
          <w:lang w:eastAsia="zh-CN"/>
        </w:rPr>
        <w:t>由于</w:t>
      </w:r>
      <w:r>
        <w:rPr>
          <w:rFonts w:hint="eastAsia" w:eastAsia="仿宋_GB2312"/>
          <w:color w:val="000000"/>
          <w:sz w:val="32"/>
          <w:szCs w:val="32"/>
          <w:lang w:val="en-US" w:eastAsia="zh-CN"/>
        </w:rPr>
        <w:t>我单位厉行节约、严格把关，大力压减项目经费支出。</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pStyle w:val="2"/>
        <w:keepNext w:val="0"/>
        <w:keepLines w:val="0"/>
        <w:pageBreakBefore w:val="0"/>
        <w:widowControl/>
        <w:kinsoku/>
        <w:wordWrap/>
        <w:overflowPunct/>
        <w:topLinePunct w:val="0"/>
        <w:autoSpaceDE/>
        <w:autoSpaceDN/>
        <w:bidi w:val="0"/>
        <w:adjustRightInd/>
        <w:snapToGrid/>
        <w:spacing w:after="0"/>
        <w:ind w:left="0" w:leftChars="0" w:firstLine="640"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2021年本单位整体支出绩效目标已实现年初目标:</w:t>
      </w:r>
    </w:p>
    <w:p>
      <w:pPr>
        <w:pStyle w:val="2"/>
        <w:keepNext w:val="0"/>
        <w:keepLines w:val="0"/>
        <w:pageBreakBefore w:val="0"/>
        <w:widowControl/>
        <w:kinsoku/>
        <w:wordWrap/>
        <w:overflowPunct/>
        <w:topLinePunct w:val="0"/>
        <w:autoSpaceDE/>
        <w:autoSpaceDN/>
        <w:bidi w:val="0"/>
        <w:adjustRightInd/>
        <w:snapToGrid/>
        <w:spacing w:after="0"/>
        <w:ind w:left="0" w:leftChars="0" w:firstLine="643"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（一）保障环卫所在职及退休人员的正常办公、生活秩序;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jc w:val="both"/>
        <w:textAlignment w:val="auto"/>
        <w:rPr>
          <w:rFonts w:hint="eastAsia" w:ascii="方正楷体简体" w:hAnsi="方正楷体简体" w:eastAsia="方正楷体简体" w:cs="方正楷体简体"/>
          <w:b/>
          <w:bCs/>
          <w:i w:val="0"/>
          <w:snapToGrid/>
          <w:color w:val="auto"/>
          <w:kern w:val="0"/>
          <w:sz w:val="32"/>
          <w:szCs w:val="32"/>
          <w:u w:val="none"/>
          <w:lang w:val="en-US" w:eastAsia="zh-CN"/>
        </w:rPr>
      </w:pPr>
      <w:r>
        <w:rPr>
          <w:rFonts w:hint="eastAsia" w:ascii="方正楷体简体" w:hAnsi="方正楷体简体" w:eastAsia="方正楷体简体" w:cs="方正楷体简体"/>
          <w:b/>
          <w:bCs/>
          <w:i w:val="0"/>
          <w:snapToGrid/>
          <w:color w:val="auto"/>
          <w:kern w:val="0"/>
          <w:sz w:val="32"/>
          <w:szCs w:val="32"/>
          <w:u w:val="none"/>
          <w:lang w:val="en-US" w:eastAsia="zh-CN"/>
        </w:rPr>
        <w:t>（二）深化改革，完成城区第三轮环卫服务外包工作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val="0"/>
          <w:i w:val="0"/>
          <w:snapToGrid/>
          <w:color w:val="auto"/>
          <w:kern w:val="0"/>
          <w:sz w:val="32"/>
          <w:szCs w:val="32"/>
          <w:u w:val="none"/>
          <w:lang w:val="en-US" w:eastAsia="zh-CN"/>
        </w:rPr>
        <w:t>城区第三轮环卫服务外包政府采购项目由广州奇岭环境服务有限公司中标，第三轮环卫服务外包期限三年。与第二轮环卫外包项目相比，此轮增加了</w:t>
      </w:r>
      <w:r>
        <w:rPr>
          <w:rFonts w:hint="eastAsia" w:ascii="仿宋" w:hAnsi="仿宋" w:eastAsia="仿宋" w:cs="仿宋"/>
          <w:color w:val="auto"/>
          <w:kern w:val="0"/>
          <w:sz w:val="32"/>
          <w:szCs w:val="32"/>
          <w:lang w:val="en-US" w:eastAsia="zh-CN"/>
        </w:rPr>
        <w:t>南城区、万寿广场、两路一中心（部分路段）等清扫保洁范围；增加了城区公交站、城区大件垃圾处置、淤泥清运、垃圾容器清洗等内容。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textAlignment w:val="auto"/>
        <w:rPr>
          <w:rFonts w:hint="eastAsia" w:ascii="方正楷体简体" w:hAnsi="方正楷体简体" w:eastAsia="方正楷体简体" w:cs="方正楷体简体"/>
          <w:b/>
          <w:bCs/>
          <w:i w:val="0"/>
          <w:snapToGrid/>
          <w:color w:val="auto"/>
          <w:sz w:val="32"/>
          <w:szCs w:val="32"/>
          <w:u w:val="none"/>
          <w:lang w:val="en-US" w:eastAsia="zh-CN"/>
        </w:rPr>
      </w:pPr>
      <w:r>
        <w:rPr>
          <w:rFonts w:hint="eastAsia" w:ascii="方正楷体简体" w:hAnsi="方正楷体简体" w:eastAsia="方正楷体简体" w:cs="方正楷体简体"/>
          <w:b/>
          <w:bCs/>
          <w:i w:val="0"/>
          <w:snapToGrid/>
          <w:color w:val="auto"/>
          <w:sz w:val="32"/>
          <w:szCs w:val="32"/>
          <w:u w:val="none"/>
          <w:lang w:val="en-US" w:eastAsia="zh-CN"/>
        </w:rPr>
        <w:t>（三）精细管理，助力提升城区环境卫生质量</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textAlignment w:val="auto"/>
        <w:rPr>
          <w:rFonts w:hint="default" w:ascii="仿宋" w:hAnsi="仿宋" w:eastAsia="仿宋" w:cs="仿宋"/>
          <w:b w:val="0"/>
          <w:i w:val="0"/>
          <w:snapToGrid/>
          <w:color w:val="auto"/>
          <w:sz w:val="32"/>
          <w:szCs w:val="32"/>
          <w:u w:val="none"/>
          <w:lang w:val="en-US" w:eastAsia="zh-CN"/>
        </w:rPr>
      </w:pPr>
      <w:r>
        <w:rPr>
          <w:rFonts w:hint="eastAsia" w:ascii="仿宋" w:hAnsi="仿宋" w:eastAsia="仿宋" w:cs="仿宋"/>
          <w:b/>
          <w:bCs/>
          <w:i w:val="0"/>
          <w:snapToGrid/>
          <w:color w:val="auto"/>
          <w:sz w:val="32"/>
          <w:szCs w:val="32"/>
          <w:u w:val="none"/>
          <w:lang w:val="en-US" w:eastAsia="zh-CN"/>
        </w:rPr>
        <w:t>一是</w:t>
      </w:r>
      <w:r>
        <w:rPr>
          <w:rFonts w:hint="eastAsia" w:ascii="仿宋" w:hAnsi="仿宋" w:eastAsia="仿宋" w:cs="仿宋"/>
          <w:b w:val="0"/>
          <w:bCs w:val="0"/>
          <w:i w:val="0"/>
          <w:snapToGrid/>
          <w:color w:val="auto"/>
          <w:sz w:val="32"/>
          <w:szCs w:val="32"/>
          <w:u w:val="none"/>
          <w:lang w:val="en-US" w:eastAsia="zh-CN"/>
        </w:rPr>
        <w:t>持续推行</w:t>
      </w:r>
      <w:r>
        <w:rPr>
          <w:rFonts w:hint="eastAsia" w:ascii="仿宋" w:hAnsi="仿宋" w:eastAsia="仿宋" w:cs="仿宋"/>
          <w:b w:val="0"/>
          <w:bCs w:val="0"/>
          <w:color w:val="auto"/>
          <w:sz w:val="32"/>
          <w:szCs w:val="32"/>
          <w:lang w:val="en-US" w:eastAsia="zh-CN"/>
        </w:rPr>
        <w:t>“网格化”管理模式，落实分片分路段责任到个人。</w:t>
      </w:r>
      <w:r>
        <w:rPr>
          <w:rFonts w:hint="eastAsia" w:ascii="仿宋" w:hAnsi="仿宋" w:eastAsia="仿宋" w:cs="仿宋"/>
          <w:b/>
          <w:bCs/>
          <w:i w:val="0"/>
          <w:snapToGrid/>
          <w:color w:val="auto"/>
          <w:sz w:val="32"/>
          <w:szCs w:val="32"/>
          <w:u w:val="none"/>
          <w:lang w:val="en-US" w:eastAsia="zh-CN"/>
        </w:rPr>
        <w:t>二是</w:t>
      </w:r>
      <w:r>
        <w:rPr>
          <w:rFonts w:hint="eastAsia" w:ascii="仿宋" w:hAnsi="仿宋" w:eastAsia="仿宋" w:cs="仿宋"/>
          <w:b w:val="0"/>
          <w:i w:val="0"/>
          <w:snapToGrid/>
          <w:color w:val="auto"/>
          <w:sz w:val="32"/>
          <w:szCs w:val="32"/>
          <w:u w:val="none"/>
          <w:lang w:val="en-US" w:eastAsia="zh-CN"/>
        </w:rPr>
        <w:t>严格按照作业质量标准和管理考评办法，对环卫服务外包公司进行督查考核，出台月督查通报，全年共查处各类问题6445起，整改5912起，扣分533起，扣分1230分。</w:t>
      </w:r>
      <w:r>
        <w:rPr>
          <w:rFonts w:hint="eastAsia" w:ascii="仿宋" w:hAnsi="仿宋" w:eastAsia="仿宋" w:cs="仿宋"/>
          <w:b/>
          <w:bCs/>
          <w:i w:val="0"/>
          <w:snapToGrid/>
          <w:color w:val="auto"/>
          <w:sz w:val="32"/>
          <w:szCs w:val="32"/>
          <w:u w:val="none"/>
          <w:lang w:val="en-US" w:eastAsia="zh-CN"/>
        </w:rPr>
        <w:t>三是</w:t>
      </w:r>
      <w:r>
        <w:rPr>
          <w:rFonts w:hint="eastAsia" w:ascii="仿宋" w:hAnsi="仿宋" w:eastAsia="仿宋" w:cs="仿宋"/>
          <w:bCs/>
          <w:color w:val="auto"/>
          <w:sz w:val="32"/>
          <w:szCs w:val="32"/>
          <w:lang w:val="en-US" w:eastAsia="zh-CN"/>
        </w:rPr>
        <w:t>加强与城管、街道（社区）、南岳镇等部门的联系，强化协作，进一步提升城区环境卫生质量。</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textAlignment w:val="auto"/>
        <w:rPr>
          <w:rFonts w:hint="eastAsia" w:ascii="方正楷体简体" w:hAnsi="方正楷体简体" w:eastAsia="方正楷体简体" w:cs="方正楷体简体"/>
          <w:b/>
          <w:bCs/>
          <w:i w:val="0"/>
          <w:snapToGrid/>
          <w:color w:val="auto"/>
          <w:sz w:val="32"/>
          <w:szCs w:val="32"/>
          <w:u w:val="none"/>
          <w:lang w:val="en-US" w:eastAsia="zh-CN"/>
        </w:rPr>
      </w:pPr>
      <w:r>
        <w:rPr>
          <w:rFonts w:hint="eastAsia" w:ascii="方正楷体简体" w:hAnsi="方正楷体简体" w:eastAsia="方正楷体简体" w:cs="方正楷体简体"/>
          <w:b/>
          <w:bCs/>
          <w:i w:val="0"/>
          <w:snapToGrid/>
          <w:color w:val="auto"/>
          <w:sz w:val="32"/>
          <w:szCs w:val="32"/>
          <w:u w:val="none"/>
          <w:lang w:val="en-US" w:eastAsia="zh-CN"/>
        </w:rPr>
        <w:t>（四）精准谋划，持续推进生活垃圾分类工作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23" w:firstLineChars="194"/>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u w:val="none"/>
          <w:lang w:val="en-US" w:eastAsia="zh-CN"/>
        </w:rPr>
        <w:t>一是</w:t>
      </w:r>
      <w:r>
        <w:rPr>
          <w:rFonts w:hint="eastAsia" w:ascii="仿宋" w:hAnsi="仿宋" w:eastAsia="仿宋" w:cs="仿宋"/>
          <w:color w:val="auto"/>
          <w:sz w:val="32"/>
          <w:szCs w:val="32"/>
          <w:u w:val="none"/>
          <w:lang w:val="en-US" w:eastAsia="zh-CN"/>
        </w:rPr>
        <w:t>起草《南岳区生活垃圾分类实施方案》，经区委区政府同意，于今年8月印发。</w:t>
      </w:r>
      <w:r>
        <w:rPr>
          <w:rFonts w:hint="eastAsia" w:ascii="仿宋" w:hAnsi="仿宋" w:eastAsia="仿宋" w:cs="仿宋"/>
          <w:b/>
          <w:bCs/>
          <w:color w:val="auto"/>
          <w:sz w:val="32"/>
          <w:szCs w:val="32"/>
          <w:u w:val="none"/>
          <w:lang w:val="en-US" w:eastAsia="zh-CN"/>
        </w:rPr>
        <w:t>二是</w:t>
      </w:r>
      <w:r>
        <w:rPr>
          <w:rFonts w:hint="eastAsia" w:ascii="仿宋" w:hAnsi="仿宋" w:eastAsia="仿宋" w:cs="仿宋"/>
          <w:color w:val="auto"/>
          <w:sz w:val="32"/>
          <w:szCs w:val="32"/>
          <w:lang w:val="en-US" w:eastAsia="zh-CN"/>
        </w:rPr>
        <w:t>精选3名人员抽调到区生活垃圾分类办，组织召开了全区生活垃圾分类动员暨培训会。</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深入衡阳市、株洲市等地实地考察，</w:t>
      </w:r>
      <w:r>
        <w:rPr>
          <w:rFonts w:hint="eastAsia" w:ascii="仿宋" w:hAnsi="仿宋" w:eastAsia="仿宋" w:cs="仿宋"/>
          <w:color w:val="auto"/>
          <w:sz w:val="32"/>
          <w:szCs w:val="32"/>
        </w:rPr>
        <w:t>学习垃圾分类</w:t>
      </w:r>
      <w:r>
        <w:rPr>
          <w:rFonts w:hint="eastAsia" w:ascii="仿宋" w:hAnsi="仿宋" w:eastAsia="仿宋" w:cs="仿宋"/>
          <w:color w:val="auto"/>
          <w:sz w:val="32"/>
          <w:szCs w:val="32"/>
          <w:lang w:val="en-US" w:eastAsia="zh-CN"/>
        </w:rPr>
        <w:t>先进</w:t>
      </w:r>
      <w:r>
        <w:rPr>
          <w:rFonts w:hint="eastAsia" w:ascii="仿宋" w:hAnsi="仿宋" w:eastAsia="仿宋" w:cs="仿宋"/>
          <w:color w:val="auto"/>
          <w:sz w:val="32"/>
          <w:szCs w:val="32"/>
        </w:rPr>
        <w:t>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同时组织人员参加省垃圾分类知识培训，并取得垃圾分类项目指导员资格。</w:t>
      </w:r>
      <w:r>
        <w:rPr>
          <w:rFonts w:hint="eastAsia" w:ascii="仿宋" w:hAnsi="仿宋" w:eastAsia="仿宋" w:cs="仿宋"/>
          <w:b/>
          <w:bCs/>
          <w:color w:val="auto"/>
          <w:sz w:val="32"/>
          <w:szCs w:val="32"/>
          <w:lang w:val="en-US" w:eastAsia="zh-CN"/>
        </w:rPr>
        <w:t>四是</w:t>
      </w:r>
      <w:r>
        <w:rPr>
          <w:rFonts w:hint="eastAsia" w:ascii="仿宋" w:hAnsi="仿宋" w:eastAsia="仿宋" w:cs="仿宋"/>
          <w:color w:val="auto"/>
          <w:sz w:val="32"/>
          <w:szCs w:val="32"/>
          <w:lang w:val="en-US" w:eastAsia="zh-CN"/>
        </w:rPr>
        <w:t>在衡山路、祝融路、金沙路等主干道进行新增、更换、调配摆放二分类垃圾桶150个。</w:t>
      </w:r>
      <w:r>
        <w:rPr>
          <w:rFonts w:hint="eastAsia" w:ascii="仿宋" w:hAnsi="仿宋" w:eastAsia="仿宋" w:cs="仿宋"/>
          <w:b/>
          <w:bCs/>
          <w:color w:val="auto"/>
          <w:sz w:val="32"/>
          <w:szCs w:val="32"/>
          <w:lang w:val="en-US" w:eastAsia="zh-CN"/>
        </w:rPr>
        <w:t>五是</w:t>
      </w:r>
      <w:r>
        <w:rPr>
          <w:rFonts w:hint="eastAsia" w:ascii="仿宋" w:hAnsi="仿宋" w:eastAsia="仿宋" w:cs="仿宋"/>
          <w:color w:val="auto"/>
          <w:sz w:val="32"/>
          <w:szCs w:val="32"/>
          <w:lang w:val="en-US" w:eastAsia="zh-CN"/>
        </w:rPr>
        <w:t>在单位内部设置四分类垃圾收集点，各办公室使用两分类垃圾桶，在楼道摆放三分类垃圾桶。</w:t>
      </w:r>
      <w:r>
        <w:rPr>
          <w:rFonts w:hint="eastAsia" w:ascii="仿宋" w:hAnsi="仿宋" w:eastAsia="仿宋" w:cs="仿宋"/>
          <w:b/>
          <w:bCs/>
          <w:color w:val="000000"/>
          <w:sz w:val="32"/>
          <w:szCs w:val="32"/>
          <w:lang w:val="en-US" w:eastAsia="zh-CN"/>
        </w:rPr>
        <w:t>六是</w:t>
      </w:r>
      <w:r>
        <w:rPr>
          <w:rFonts w:hint="eastAsia" w:ascii="仿宋" w:hAnsi="仿宋" w:eastAsia="仿宋" w:cs="仿宋"/>
          <w:color w:val="000000"/>
          <w:sz w:val="32"/>
          <w:szCs w:val="32"/>
          <w:lang w:val="en-US" w:eastAsia="zh-CN"/>
        </w:rPr>
        <w:t>开展形式多样</w:t>
      </w:r>
      <w:r>
        <w:rPr>
          <w:rFonts w:hint="eastAsia" w:ascii="仿宋" w:hAnsi="仿宋" w:eastAsia="仿宋" w:cs="仿宋"/>
          <w:color w:val="auto"/>
          <w:sz w:val="32"/>
          <w:szCs w:val="32"/>
          <w:lang w:val="en-US" w:eastAsia="zh-CN"/>
        </w:rPr>
        <w:t>的垃圾分类宣传活动。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textAlignment w:val="auto"/>
        <w:rPr>
          <w:rFonts w:hint="eastAsia" w:ascii="方正楷体简体" w:hAnsi="方正楷体简体" w:eastAsia="方正楷体简体" w:cs="方正楷体简体"/>
          <w:b/>
          <w:bCs/>
          <w:i w:val="0"/>
          <w:snapToGrid/>
          <w:color w:val="auto"/>
          <w:sz w:val="32"/>
          <w:szCs w:val="32"/>
          <w:u w:val="none"/>
          <w:lang w:val="en-US" w:eastAsia="zh-CN"/>
        </w:rPr>
      </w:pPr>
      <w:r>
        <w:rPr>
          <w:rFonts w:hint="eastAsia" w:ascii="方正楷体简体" w:hAnsi="方正楷体简体" w:eastAsia="方正楷体简体" w:cs="方正楷体简体"/>
          <w:b/>
          <w:bCs/>
          <w:i w:val="0"/>
          <w:snapToGrid/>
          <w:color w:val="auto"/>
          <w:sz w:val="32"/>
          <w:szCs w:val="32"/>
          <w:u w:val="none"/>
          <w:lang w:val="en-US" w:eastAsia="zh-CN"/>
        </w:rPr>
        <w:t>（五）强化保障，做好城区餐厨垃圾收运处置工作</w:t>
      </w:r>
    </w:p>
    <w:p>
      <w:pPr>
        <w:pStyle w:val="4"/>
        <w:keepNext w:val="0"/>
        <w:keepLines w:val="0"/>
        <w:pageBreakBefore w:val="0"/>
        <w:widowControl w:val="0"/>
        <w:kinsoku w:val="0"/>
        <w:wordWrap/>
        <w:overflowPunct w:val="0"/>
        <w:topLinePunct w:val="0"/>
        <w:bidi w:val="0"/>
        <w:spacing w:beforeLines="0" w:afterLines="0" w:line="520" w:lineRule="exact"/>
        <w:ind w:left="0" w:leftChars="0" w:firstLine="643" w:firstLineChars="200"/>
        <w:jc w:val="both"/>
        <w:textAlignment w:val="auto"/>
        <w:rPr>
          <w:rFonts w:hint="eastAsia" w:ascii="仿宋" w:hAnsi="仿宋" w:eastAsia="仿宋" w:cs="仿宋"/>
          <w:b w:val="0"/>
          <w:i w:val="0"/>
          <w:snapToGrid/>
          <w:color w:val="auto"/>
          <w:sz w:val="32"/>
          <w:szCs w:val="32"/>
          <w:u w:val="none"/>
          <w:lang w:eastAsia="zh-CN"/>
        </w:rPr>
      </w:pP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起草《南岳区餐厨垃圾管理办法》《</w:t>
      </w:r>
      <w:r>
        <w:rPr>
          <w:rFonts w:hint="eastAsia" w:ascii="仿宋" w:hAnsi="仿宋" w:eastAsia="仿宋" w:cs="仿宋"/>
          <w:color w:val="auto"/>
          <w:sz w:val="32"/>
          <w:szCs w:val="32"/>
          <w:lang w:val="en-US" w:eastAsia="zh-CN"/>
        </w:rPr>
        <mc:AlternateContent>
          <mc:Choice Requires="wps">
            <w:drawing>
              <wp:anchor distT="0" distB="0" distL="114300" distR="114300" simplePos="0" relativeHeight="251659264" behindDoc="0" locked="0" layoutInCell="1" allowOverlap="1">
                <wp:simplePos x="0" y="0"/>
                <wp:positionH relativeFrom="page">
                  <wp:posOffset>230505</wp:posOffset>
                </wp:positionH>
                <wp:positionV relativeFrom="page">
                  <wp:posOffset>167005</wp:posOffset>
                </wp:positionV>
                <wp:extent cx="121285" cy="2641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1285" cy="264160"/>
                        </a:xfrm>
                        <a:prstGeom prst="rect">
                          <a:avLst/>
                        </a:prstGeom>
                        <a:noFill/>
                        <a:ln>
                          <a:noFill/>
                        </a:ln>
                        <a:effectLst/>
                      </wps:spPr>
                      <wps:txbx>
                        <w:txbxContent>
                          <w:p>
                            <w:pPr>
                              <w:pStyle w:val="4"/>
                              <w:kinsoku w:val="0"/>
                              <w:overflowPunct w:val="0"/>
                              <w:spacing w:beforeLines="0" w:afterLines="0"/>
                              <w:ind w:left="22"/>
                              <w:rPr>
                                <w:rFonts w:hint="eastAsia"/>
                                <w:color w:val="ACACAC"/>
                                <w:sz w:val="18"/>
                                <w:szCs w:val="24"/>
                              </w:rPr>
                            </w:pPr>
                            <w:r>
                              <w:rPr>
                                <w:rFonts w:hint="eastAsia"/>
                                <w:color w:val="ACACAC"/>
                                <w:spacing w:val="-61"/>
                                <w:sz w:val="18"/>
                                <w:szCs w:val="24"/>
                              </w:rPr>
                              <w:t>r</w:t>
                            </w:r>
                            <w:r>
                              <w:rPr>
                                <w:rFonts w:hint="eastAsia"/>
                                <w:color w:val="ACACAC"/>
                                <w:sz w:val="18"/>
                                <w:szCs w:val="24"/>
                              </w:rPr>
                              <w:t>3</w:t>
                            </w:r>
                          </w:p>
                          <w:p>
                            <w:pPr>
                              <w:pStyle w:val="4"/>
                              <w:kinsoku w:val="0"/>
                              <w:overflowPunct w:val="0"/>
                              <w:spacing w:beforeLines="0" w:afterLines="0"/>
                              <w:rPr>
                                <w:rFonts w:hint="default" w:ascii="Arial" w:cs="Arial"/>
                                <w:sz w:val="8"/>
                                <w:szCs w:val="24"/>
                              </w:rPr>
                            </w:pPr>
                          </w:p>
                          <w:p>
                            <w:pPr>
                              <w:pStyle w:val="4"/>
                              <w:kinsoku w:val="0"/>
                              <w:overflowPunct w:val="0"/>
                              <w:spacing w:before="52" w:beforeLines="0" w:afterLines="0" w:line="60" w:lineRule="auto"/>
                              <w:ind w:left="20" w:right="1"/>
                              <w:rPr>
                                <w:rFonts w:hint="eastAsia"/>
                                <w:color w:val="ACACAC"/>
                                <w:sz w:val="17"/>
                                <w:szCs w:val="24"/>
                              </w:rPr>
                            </w:pPr>
                            <w:r>
                              <w:rPr>
                                <w:rFonts w:hint="eastAsia"/>
                                <w:color w:val="ACACAC"/>
                                <w:sz w:val="17"/>
                                <w:szCs w:val="24"/>
                              </w:rPr>
                              <w:t>I</w:t>
                            </w:r>
                            <w:r>
                              <w:rPr>
                                <w:rFonts w:hint="eastAsia"/>
                                <w:color w:val="ACACAC"/>
                                <w:spacing w:val="-50"/>
                                <w:sz w:val="17"/>
                                <w:szCs w:val="24"/>
                              </w:rPr>
                              <w:t xml:space="preserve"> </w:t>
                            </w:r>
                            <w:r>
                              <w:rPr>
                                <w:rFonts w:hint="eastAsia"/>
                                <w:color w:val="ACACAC"/>
                                <w:sz w:val="17"/>
                                <w:szCs w:val="24"/>
                              </w:rPr>
                              <w:t>-</w:t>
                            </w:r>
                          </w:p>
                        </w:txbxContent>
                      </wps:txbx>
                      <wps:bodyPr vert="eaVert" lIns="0" tIns="0" rIns="0" bIns="0" upright="1"/>
                    </wps:wsp>
                  </a:graphicData>
                </a:graphic>
              </wp:anchor>
            </w:drawing>
          </mc:Choice>
          <mc:Fallback>
            <w:pict>
              <v:shape id="_x0000_s1026" o:spid="_x0000_s1026" o:spt="202" type="#_x0000_t202" style="position:absolute;left:0pt;margin-left:18.15pt;margin-top:13.15pt;height:20.8pt;width:9.55pt;mso-position-horizontal-relative:page;mso-position-vertical-relative:page;z-index:251659264;mso-width-relative:page;mso-height-relative:page;" filled="f" stroked="f" coordsize="21600,21600" o:gfxdata="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Q7YpzVAAAABwEAAA8AAAAAAAAAAQAgAAAAIgAAAGRycy9kb3ducmV2&#10;LnhtbFBLAQIUABQAAAAIAIdO4kCgL5brxgEAAI0DAAAOAAAAAAAAAAEAIAAAACQBAABkcnMvZTJv&#10;RG9jLnhtbFBLBQYAAAAABgAGAFkBAABcBQAAAAA=&#10;">
                <v:fill on="f" focussize="0,0"/>
                <v:stroke on="f"/>
                <v:imagedata o:title=""/>
                <o:lock v:ext="edit" aspectratio="f"/>
                <v:textbox inset="0mm,0mm,0mm,0mm" style="layout-flow:vertical-ideographic;">
                  <w:txbxContent>
                    <w:p>
                      <w:pPr>
                        <w:pStyle w:val="4"/>
                        <w:kinsoku w:val="0"/>
                        <w:overflowPunct w:val="0"/>
                        <w:spacing w:beforeLines="0" w:afterLines="0"/>
                        <w:ind w:left="22"/>
                        <w:rPr>
                          <w:rFonts w:hint="eastAsia"/>
                          <w:color w:val="ACACAC"/>
                          <w:sz w:val="18"/>
                          <w:szCs w:val="24"/>
                        </w:rPr>
                      </w:pPr>
                      <w:r>
                        <w:rPr>
                          <w:rFonts w:hint="eastAsia"/>
                          <w:color w:val="ACACAC"/>
                          <w:spacing w:val="-61"/>
                          <w:sz w:val="18"/>
                          <w:szCs w:val="24"/>
                        </w:rPr>
                        <w:t>r</w:t>
                      </w:r>
                      <w:r>
                        <w:rPr>
                          <w:rFonts w:hint="eastAsia"/>
                          <w:color w:val="ACACAC"/>
                          <w:sz w:val="18"/>
                          <w:szCs w:val="24"/>
                        </w:rPr>
                        <w:t>3</w:t>
                      </w:r>
                    </w:p>
                    <w:p>
                      <w:pPr>
                        <w:pStyle w:val="4"/>
                        <w:kinsoku w:val="0"/>
                        <w:overflowPunct w:val="0"/>
                        <w:spacing w:beforeLines="0" w:afterLines="0"/>
                        <w:rPr>
                          <w:rFonts w:hint="default" w:ascii="Arial" w:cs="Arial"/>
                          <w:sz w:val="8"/>
                          <w:szCs w:val="24"/>
                        </w:rPr>
                      </w:pPr>
                    </w:p>
                    <w:p>
                      <w:pPr>
                        <w:pStyle w:val="4"/>
                        <w:kinsoku w:val="0"/>
                        <w:overflowPunct w:val="0"/>
                        <w:spacing w:before="52" w:beforeLines="0" w:afterLines="0" w:line="60" w:lineRule="auto"/>
                        <w:ind w:left="20" w:right="1"/>
                        <w:rPr>
                          <w:rFonts w:hint="eastAsia"/>
                          <w:color w:val="ACACAC"/>
                          <w:sz w:val="17"/>
                          <w:szCs w:val="24"/>
                        </w:rPr>
                      </w:pPr>
                      <w:r>
                        <w:rPr>
                          <w:rFonts w:hint="eastAsia"/>
                          <w:color w:val="ACACAC"/>
                          <w:sz w:val="17"/>
                          <w:szCs w:val="24"/>
                        </w:rPr>
                        <w:t>I</w:t>
                      </w:r>
                      <w:r>
                        <w:rPr>
                          <w:rFonts w:hint="eastAsia"/>
                          <w:color w:val="ACACAC"/>
                          <w:spacing w:val="-50"/>
                          <w:sz w:val="17"/>
                          <w:szCs w:val="24"/>
                        </w:rPr>
                        <w:t xml:space="preserve"> </w:t>
                      </w:r>
                      <w:r>
                        <w:rPr>
                          <w:rFonts w:hint="eastAsia"/>
                          <w:color w:val="ACACAC"/>
                          <w:sz w:val="17"/>
                          <w:szCs w:val="24"/>
                        </w:rPr>
                        <w:t>-</w:t>
                      </w:r>
                    </w:p>
                  </w:txbxContent>
                </v:textbox>
              </v:shape>
            </w:pict>
          </mc:Fallback>
        </mc:AlternateContent>
      </w:r>
      <w:r>
        <w:rPr>
          <w:rFonts w:hint="eastAsia" w:ascii="仿宋" w:hAnsi="仿宋" w:eastAsia="仿宋" w:cs="仿宋"/>
          <w:color w:val="auto"/>
          <w:sz w:val="32"/>
          <w:szCs w:val="32"/>
          <w:lang w:val="en-US" w:eastAsia="zh-CN"/>
        </w:rPr>
        <w:t>南岳区餐厨垃圾收运处置考核办法》。</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积极推进与</w:t>
      </w:r>
      <w:r>
        <w:rPr>
          <w:rFonts w:hint="eastAsia" w:ascii="仿宋" w:hAnsi="仿宋" w:eastAsia="仿宋" w:cs="仿宋"/>
          <w:color w:val="auto"/>
          <w:sz w:val="32"/>
          <w:szCs w:val="32"/>
        </w:rPr>
        <w:t>衡阳桑德凯天再生资源科技有限公司</w:t>
      </w:r>
      <w:r>
        <w:rPr>
          <w:rFonts w:hint="eastAsia" w:ascii="仿宋" w:hAnsi="仿宋" w:eastAsia="仿宋" w:cs="仿宋"/>
          <w:color w:val="auto"/>
          <w:sz w:val="32"/>
          <w:szCs w:val="32"/>
          <w:lang w:eastAsia="zh-CN"/>
        </w:rPr>
        <w:t>关于</w:t>
      </w:r>
      <w:r>
        <w:rPr>
          <w:rFonts w:hint="eastAsia" w:ascii="仿宋" w:hAnsi="仿宋" w:eastAsia="仿宋" w:cs="仿宋"/>
          <w:color w:val="auto"/>
          <w:sz w:val="32"/>
          <w:szCs w:val="32"/>
        </w:rPr>
        <w:t>餐厨废弃物收运处置</w:t>
      </w:r>
      <w:r>
        <w:rPr>
          <w:rFonts w:hint="eastAsia" w:ascii="仿宋" w:hAnsi="仿宋" w:eastAsia="仿宋" w:cs="仿宋"/>
          <w:color w:val="auto"/>
          <w:sz w:val="32"/>
          <w:szCs w:val="32"/>
          <w:lang w:eastAsia="zh-CN"/>
        </w:rPr>
        <w:t>协议签订的</w:t>
      </w:r>
      <w:r>
        <w:rPr>
          <w:rFonts w:hint="eastAsia" w:ascii="仿宋" w:hAnsi="仿宋" w:eastAsia="仿宋" w:cs="仿宋"/>
          <w:color w:val="auto"/>
          <w:sz w:val="32"/>
          <w:szCs w:val="32"/>
        </w:rPr>
        <w:t>协商谈判。</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lang w:eastAsia="zh-CN"/>
        </w:rPr>
        <w:t>督促桑德公司对城区餐厨垃圾进行及时收运。</w:t>
      </w:r>
      <w:r>
        <w:rPr>
          <w:rFonts w:hint="eastAsia" w:ascii="仿宋" w:hAnsi="仿宋" w:eastAsia="仿宋" w:cs="仿宋"/>
          <w:b/>
          <w:bCs/>
          <w:color w:val="auto"/>
          <w:sz w:val="32"/>
          <w:szCs w:val="32"/>
          <w:lang w:eastAsia="zh-CN"/>
        </w:rPr>
        <w:t>四是</w:t>
      </w:r>
      <w:r>
        <w:rPr>
          <w:rFonts w:hint="eastAsia" w:ascii="仿宋" w:hAnsi="仿宋" w:eastAsia="仿宋" w:cs="仿宋"/>
          <w:color w:val="000000"/>
          <w:sz w:val="32"/>
          <w:szCs w:val="32"/>
          <w:lang w:eastAsia="zh-CN"/>
        </w:rPr>
        <w:t>督促餐饮经营单位、机关事业单位做好</w:t>
      </w:r>
      <w:r>
        <w:rPr>
          <w:rFonts w:hint="eastAsia" w:ascii="仿宋_GB2312" w:eastAsia="仿宋_GB2312"/>
          <w:color w:val="auto"/>
          <w:sz w:val="32"/>
          <w:szCs w:val="32"/>
          <w:lang w:val="en-US" w:eastAsia="zh-CN"/>
        </w:rPr>
        <w:t>餐厨垃圾桶及周边环境卫生，</w:t>
      </w:r>
      <w:r>
        <w:rPr>
          <w:rFonts w:hint="eastAsia" w:ascii="仿宋_GB2312" w:eastAsia="仿宋_GB2312"/>
          <w:color w:val="auto"/>
          <w:sz w:val="32"/>
          <w:szCs w:val="32"/>
          <w:lang w:eastAsia="zh-CN"/>
        </w:rPr>
        <w:t>做到餐厨垃圾与其他垃圾、可回收垃圾分类投放。</w:t>
      </w:r>
      <w:r>
        <w:rPr>
          <w:rFonts w:hint="eastAsia" w:ascii="仿宋_GB2312" w:eastAsia="仿宋_GB2312"/>
          <w:color w:val="auto"/>
          <w:sz w:val="32"/>
          <w:szCs w:val="32"/>
          <w:lang w:val="en-US" w:eastAsia="zh-CN"/>
        </w:rPr>
        <w:t>今年，</w:t>
      </w:r>
      <w:r>
        <w:rPr>
          <w:rFonts w:hint="eastAsia" w:ascii="仿宋" w:hAnsi="仿宋" w:eastAsia="仿宋" w:cs="仿宋"/>
          <w:color w:val="auto"/>
          <w:sz w:val="32"/>
          <w:szCs w:val="32"/>
        </w:rPr>
        <w:t>我区已有</w:t>
      </w:r>
      <w:r>
        <w:rPr>
          <w:rFonts w:hint="eastAsia" w:ascii="仿宋" w:hAnsi="仿宋" w:eastAsia="仿宋" w:cs="仿宋"/>
          <w:color w:val="auto"/>
          <w:sz w:val="32"/>
          <w:szCs w:val="32"/>
          <w:lang w:val="en-US" w:eastAsia="zh-CN"/>
        </w:rPr>
        <w:t>近500家</w:t>
      </w:r>
      <w:r>
        <w:rPr>
          <w:rFonts w:hint="eastAsia" w:ascii="仿宋" w:hAnsi="仿宋" w:eastAsia="仿宋" w:cs="仿宋"/>
          <w:color w:val="auto"/>
          <w:sz w:val="32"/>
          <w:szCs w:val="32"/>
        </w:rPr>
        <w:t>餐饮经营单位</w:t>
      </w:r>
      <w:r>
        <w:rPr>
          <w:rFonts w:hint="eastAsia" w:ascii="仿宋" w:hAnsi="仿宋" w:eastAsia="仿宋" w:cs="仿宋"/>
          <w:color w:val="auto"/>
          <w:sz w:val="32"/>
          <w:szCs w:val="32"/>
          <w:lang w:eastAsia="zh-CN"/>
        </w:rPr>
        <w:t>、机关事业单位</w:t>
      </w:r>
      <w:r>
        <w:rPr>
          <w:rFonts w:hint="eastAsia" w:ascii="仿宋" w:hAnsi="仿宋" w:eastAsia="仿宋" w:cs="仿宋"/>
          <w:color w:val="auto"/>
          <w:sz w:val="32"/>
          <w:szCs w:val="32"/>
        </w:rPr>
        <w:t>与桑德公司签订餐厨废弃物收运处理协议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餐厨垃圾收运处置总量</w:t>
      </w:r>
      <w:r>
        <w:rPr>
          <w:rFonts w:hint="eastAsia" w:ascii="仿宋" w:hAnsi="仿宋" w:eastAsia="仿宋" w:cs="仿宋"/>
          <w:color w:val="auto"/>
          <w:sz w:val="32"/>
          <w:szCs w:val="32"/>
          <w:lang w:val="en-US" w:eastAsia="zh-CN"/>
        </w:rPr>
        <w:t>2104.4</w:t>
      </w:r>
      <w:r>
        <w:rPr>
          <w:rFonts w:hint="eastAsia" w:ascii="仿宋" w:hAnsi="仿宋" w:eastAsia="仿宋" w:cs="仿宋"/>
          <w:color w:val="auto"/>
          <w:sz w:val="32"/>
          <w:szCs w:val="32"/>
        </w:rPr>
        <w:t>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0" w:leftChars="0" w:firstLine="643" w:firstLineChars="200"/>
        <w:textAlignment w:val="auto"/>
        <w:rPr>
          <w:rFonts w:hint="eastAsia" w:ascii="方正楷体简体" w:hAnsi="方正楷体简体" w:eastAsia="方正楷体简体" w:cs="方正楷体简体"/>
          <w:b/>
          <w:bCs/>
          <w:i w:val="0"/>
          <w:snapToGrid/>
          <w:color w:val="auto"/>
          <w:sz w:val="32"/>
          <w:szCs w:val="32"/>
          <w:u w:val="none"/>
          <w:lang w:val="en-US" w:eastAsia="zh-CN"/>
        </w:rPr>
      </w:pPr>
      <w:r>
        <w:rPr>
          <w:rFonts w:hint="eastAsia" w:ascii="方正楷体简体" w:hAnsi="方正楷体简体" w:eastAsia="方正楷体简体" w:cs="方正楷体简体"/>
          <w:b/>
          <w:bCs/>
          <w:i w:val="0"/>
          <w:snapToGrid/>
          <w:color w:val="auto"/>
          <w:sz w:val="32"/>
          <w:szCs w:val="32"/>
          <w:u w:val="none"/>
          <w:lang w:val="en-US" w:eastAsia="zh-CN"/>
        </w:rPr>
        <w:t xml:space="preserve">（六）及时清运，确保生活垃圾无害化处理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sz w:val="32"/>
          <w:szCs w:val="32"/>
          <w:lang w:val="en-US" w:eastAsia="zh-CN"/>
        </w:rPr>
      </w:pPr>
      <w:r>
        <w:rPr>
          <w:rFonts w:hint="eastAsia" w:ascii="仿宋_GB2312" w:hAnsi="仿宋_GB2312" w:eastAsia="仿宋_GB2312" w:cs="仿宋_GB2312"/>
          <w:color w:val="auto"/>
          <w:kern w:val="2"/>
          <w:sz w:val="32"/>
          <w:szCs w:val="32"/>
          <w:lang w:eastAsia="zh-CN"/>
        </w:rPr>
        <w:t>加强</w:t>
      </w:r>
      <w:r>
        <w:rPr>
          <w:rFonts w:hint="eastAsia" w:ascii="仿宋_GB2312" w:hAnsi="仿宋_GB2312" w:eastAsia="仿宋_GB2312" w:cs="仿宋_GB2312"/>
          <w:color w:val="auto"/>
          <w:kern w:val="2"/>
          <w:sz w:val="32"/>
          <w:szCs w:val="32"/>
        </w:rPr>
        <w:t>对城区</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南岳镇</w:t>
      </w:r>
      <w:r>
        <w:rPr>
          <w:rFonts w:hint="eastAsia" w:ascii="仿宋_GB2312" w:hAnsi="仿宋_GB2312" w:eastAsia="仿宋_GB2312" w:cs="仿宋_GB2312"/>
          <w:color w:val="auto"/>
          <w:sz w:val="32"/>
          <w:szCs w:val="32"/>
        </w:rPr>
        <w:t>14个行政村（社区）</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生活垃圾</w:t>
      </w:r>
      <w:r>
        <w:rPr>
          <w:rFonts w:hint="eastAsia" w:ascii="仿宋_GB2312" w:hAnsi="仿宋_GB2312" w:eastAsia="仿宋_GB2312" w:cs="仿宋_GB2312"/>
          <w:color w:val="auto"/>
          <w:kern w:val="2"/>
          <w:sz w:val="32"/>
          <w:szCs w:val="32"/>
          <w:lang w:eastAsia="zh-CN"/>
        </w:rPr>
        <w:t>及大庙香灰的清运力度，</w:t>
      </w:r>
      <w:r>
        <w:rPr>
          <w:rFonts w:hint="eastAsia" w:ascii="仿宋_GB2312" w:hAnsi="仿宋_GB2312" w:eastAsia="仿宋_GB2312" w:cs="仿宋_GB2312"/>
          <w:color w:val="auto"/>
          <w:kern w:val="2"/>
          <w:sz w:val="32"/>
          <w:szCs w:val="32"/>
        </w:rPr>
        <w:t>做到定点定时清运，确保日产日清，清运率达100%。</w:t>
      </w:r>
      <w:r>
        <w:rPr>
          <w:rFonts w:hint="eastAsia" w:ascii="仿宋_GB2312" w:hAnsi="仿宋_GB2312" w:eastAsia="仿宋_GB2312" w:cs="仿宋_GB2312"/>
          <w:color w:val="auto"/>
          <w:kern w:val="2"/>
          <w:sz w:val="32"/>
          <w:szCs w:val="32"/>
          <w:u w:val="none"/>
        </w:rPr>
        <w:t>全年，共清运城区生活垃圾</w:t>
      </w:r>
      <w:r>
        <w:rPr>
          <w:rFonts w:hint="eastAsia" w:ascii="仿宋_GB2312" w:hAnsi="仿宋_GB2312" w:eastAsia="仿宋_GB2312" w:cs="仿宋_GB2312"/>
          <w:color w:val="auto"/>
          <w:kern w:val="2"/>
          <w:sz w:val="32"/>
          <w:szCs w:val="32"/>
          <w:u w:val="none"/>
          <w:lang w:val="en-US" w:eastAsia="zh-CN"/>
        </w:rPr>
        <w:t>1.7万吨</w:t>
      </w:r>
      <w:r>
        <w:rPr>
          <w:rFonts w:hint="eastAsia" w:ascii="仿宋_GB2312" w:hAnsi="仿宋_GB2312" w:eastAsia="仿宋_GB2312" w:cs="仿宋_GB2312"/>
          <w:color w:val="auto"/>
          <w:kern w:val="2"/>
          <w:sz w:val="32"/>
          <w:szCs w:val="32"/>
          <w:u w:val="none"/>
        </w:rPr>
        <w:t>；农村生活垃圾</w:t>
      </w:r>
      <w:r>
        <w:rPr>
          <w:rFonts w:hint="eastAsia" w:ascii="仿宋_GB2312" w:hAnsi="仿宋_GB2312" w:eastAsia="仿宋_GB2312" w:cs="仿宋_GB2312"/>
          <w:color w:val="auto"/>
          <w:kern w:val="2"/>
          <w:sz w:val="32"/>
          <w:szCs w:val="32"/>
          <w:u w:val="none"/>
          <w:lang w:val="en-US" w:eastAsia="zh-CN"/>
        </w:rPr>
        <w:t>0.5万</w:t>
      </w:r>
      <w:r>
        <w:rPr>
          <w:rFonts w:hint="eastAsia" w:ascii="仿宋_GB2312" w:hAnsi="仿宋_GB2312" w:eastAsia="仿宋_GB2312" w:cs="仿宋_GB2312"/>
          <w:color w:val="auto"/>
          <w:kern w:val="2"/>
          <w:sz w:val="32"/>
          <w:szCs w:val="32"/>
          <w:u w:val="none"/>
        </w:rPr>
        <w:t>吨；同时清运大庙香灰</w:t>
      </w:r>
      <w:r>
        <w:rPr>
          <w:rFonts w:hint="eastAsia" w:ascii="仿宋_GB2312" w:hAnsi="仿宋_GB2312" w:eastAsia="仿宋_GB2312" w:cs="仿宋_GB2312"/>
          <w:color w:val="auto"/>
          <w:kern w:val="2"/>
          <w:sz w:val="32"/>
          <w:szCs w:val="32"/>
          <w:u w:val="none"/>
          <w:lang w:val="en-US" w:eastAsia="zh-CN"/>
        </w:rPr>
        <w:t>369</w:t>
      </w:r>
      <w:r>
        <w:rPr>
          <w:rFonts w:hint="eastAsia" w:ascii="仿宋_GB2312" w:hAnsi="仿宋_GB2312" w:eastAsia="仿宋_GB2312" w:cs="仿宋_GB2312"/>
          <w:color w:val="auto"/>
          <w:kern w:val="2"/>
          <w:sz w:val="32"/>
          <w:szCs w:val="32"/>
          <w:u w:val="none"/>
          <w:lang w:eastAsia="zh-CN"/>
        </w:rPr>
        <w:t>车次</w:t>
      </w:r>
      <w:r>
        <w:rPr>
          <w:rFonts w:hint="eastAsia" w:ascii="仿宋_GB2312" w:hAnsi="仿宋_GB2312" w:eastAsia="仿宋_GB2312" w:cs="仿宋_GB2312"/>
          <w:color w:val="auto"/>
          <w:kern w:val="2"/>
          <w:sz w:val="32"/>
          <w:szCs w:val="32"/>
          <w:u w:val="none"/>
        </w:rPr>
        <w:t>。</w:t>
      </w:r>
      <w:r>
        <w:rPr>
          <w:rFonts w:hint="eastAsia" w:ascii="仿宋_GB2312" w:hAnsi="仿宋_GB2312" w:eastAsia="仿宋_GB2312" w:cs="仿宋_GB2312"/>
          <w:color w:val="auto"/>
          <w:sz w:val="32"/>
          <w:szCs w:val="32"/>
        </w:rPr>
        <w:t>烧田生活垃圾中转站全年高效运转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全年，</w:t>
      </w:r>
      <w:r>
        <w:rPr>
          <w:rFonts w:hint="eastAsia" w:ascii="仿宋_GB2312" w:hAnsi="仿宋_GB2312" w:eastAsia="仿宋_GB2312" w:cs="仿宋_GB2312"/>
          <w:color w:val="auto"/>
          <w:sz w:val="32"/>
          <w:szCs w:val="32"/>
          <w:shd w:val="clear" w:color="auto" w:fill="FFFFFF"/>
        </w:rPr>
        <w:t>共转运</w:t>
      </w:r>
      <w:r>
        <w:rPr>
          <w:rFonts w:hint="eastAsia" w:ascii="仿宋_GB2312" w:hAnsi="仿宋_GB2312" w:eastAsia="仿宋_GB2312" w:cs="仿宋_GB2312"/>
          <w:color w:val="auto"/>
          <w:sz w:val="32"/>
          <w:szCs w:val="32"/>
          <w:u w:val="none"/>
          <w:shd w:val="clear" w:color="auto" w:fill="FFFFFF"/>
        </w:rPr>
        <w:t>生活垃圾</w:t>
      </w:r>
      <w:r>
        <w:rPr>
          <w:rFonts w:hint="eastAsia" w:ascii="仿宋_GB2312" w:hAnsi="仿宋_GB2312" w:eastAsia="仿宋_GB2312" w:cs="仿宋_GB2312"/>
          <w:color w:val="auto"/>
          <w:sz w:val="32"/>
          <w:szCs w:val="32"/>
          <w:u w:val="none"/>
          <w:shd w:val="clear" w:color="auto" w:fill="FFFFFF"/>
          <w:lang w:val="en-US" w:eastAsia="zh-CN"/>
        </w:rPr>
        <w:t>2.2</w:t>
      </w:r>
      <w:r>
        <w:rPr>
          <w:rFonts w:hint="eastAsia" w:ascii="仿宋_GB2312" w:hAnsi="仿宋_GB2312" w:eastAsia="仿宋_GB2312" w:cs="仿宋_GB2312"/>
          <w:color w:val="auto"/>
          <w:sz w:val="32"/>
          <w:szCs w:val="32"/>
          <w:u w:val="none"/>
        </w:rPr>
        <w:t>万吨，转运污水</w:t>
      </w:r>
      <w:r>
        <w:rPr>
          <w:rFonts w:hint="eastAsia" w:ascii="仿宋_GB2312" w:hAnsi="仿宋_GB2312" w:eastAsia="仿宋_GB2312" w:cs="仿宋_GB2312"/>
          <w:color w:val="auto"/>
          <w:sz w:val="32"/>
          <w:szCs w:val="32"/>
          <w:u w:val="none"/>
          <w:lang w:val="en-US" w:eastAsia="zh-CN"/>
        </w:rPr>
        <w:t>2186</w:t>
      </w:r>
      <w:r>
        <w:rPr>
          <w:rFonts w:hint="eastAsia" w:ascii="仿宋_GB2312" w:hAnsi="仿宋_GB2312" w:eastAsia="仿宋_GB2312" w:cs="仿宋_GB2312"/>
          <w:color w:val="auto"/>
          <w:sz w:val="32"/>
          <w:szCs w:val="32"/>
          <w:u w:val="none"/>
        </w:rPr>
        <w:t>吨，</w:t>
      </w:r>
      <w:r>
        <w:rPr>
          <w:rFonts w:hint="eastAsia" w:ascii="仿宋_GB2312" w:hAnsi="仿宋_GB2312" w:eastAsia="仿宋_GB2312" w:cs="仿宋_GB2312"/>
          <w:color w:val="auto"/>
          <w:sz w:val="32"/>
          <w:szCs w:val="32"/>
          <w:shd w:val="clear" w:color="auto" w:fill="FFFFFF"/>
        </w:rPr>
        <w:t>清运率达100%。生活垃圾全部</w:t>
      </w:r>
      <w:r>
        <w:rPr>
          <w:rFonts w:hint="eastAsia" w:ascii="仿宋_GB2312" w:hAnsi="仿宋_GB2312" w:eastAsia="仿宋_GB2312" w:cs="仿宋_GB2312"/>
          <w:color w:val="auto"/>
          <w:sz w:val="32"/>
          <w:szCs w:val="32"/>
          <w:shd w:val="clear" w:color="auto" w:fill="FFFFFF"/>
          <w:lang w:eastAsia="zh-CN"/>
        </w:rPr>
        <w:t>转运至衡阳市焚烧发电厂</w:t>
      </w:r>
      <w:r>
        <w:rPr>
          <w:rFonts w:hint="eastAsia" w:ascii="仿宋_GB2312" w:hAnsi="仿宋_GB2312" w:eastAsia="仿宋_GB2312" w:cs="仿宋_GB2312"/>
          <w:color w:val="auto"/>
          <w:sz w:val="32"/>
          <w:szCs w:val="32"/>
          <w:shd w:val="clear" w:color="auto" w:fill="FFFFFF"/>
        </w:rPr>
        <w:t>进行焚烧处理，无害化处理率达到100%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w:t>
      </w:r>
      <w:r>
        <w:rPr>
          <w:rFonts w:hint="eastAsia" w:eastAsia="仿宋_GB2312"/>
          <w:sz w:val="32"/>
          <w:szCs w:val="32"/>
          <w:lang w:eastAsia="zh-CN"/>
        </w:rPr>
        <w:t>单位</w:t>
      </w:r>
      <w:r>
        <w:rPr>
          <w:rFonts w:eastAsia="仿宋_GB2312"/>
          <w:sz w:val="32"/>
          <w:szCs w:val="32"/>
        </w:rPr>
        <w:t>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（一）部分项目完成度有待提升。</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由于疫情冲击影响的客观因素，以及牢固树立过紧日子思想，主动压缩非重点、刚性支出的主观因素，导致部分预算项目如培训费、出国费预算执行情况不理想，</w:t>
      </w:r>
      <w:r>
        <w:rPr>
          <w:rFonts w:hint="eastAsia" w:eastAsia="仿宋_GB2312"/>
          <w:sz w:val="32"/>
          <w:szCs w:val="32"/>
        </w:rPr>
        <w:t>我们将在</w:t>
      </w:r>
      <w:r>
        <w:rPr>
          <w:rFonts w:eastAsia="仿宋_GB2312"/>
          <w:sz w:val="32"/>
          <w:szCs w:val="32"/>
        </w:rPr>
        <w:t>下年加以重视，</w:t>
      </w:r>
      <w:r>
        <w:rPr>
          <w:rFonts w:hint="eastAsia" w:eastAsia="仿宋_GB2312"/>
          <w:sz w:val="32"/>
          <w:szCs w:val="32"/>
        </w:rPr>
        <w:t>提前谋划，</w:t>
      </w:r>
      <w:r>
        <w:rPr>
          <w:rFonts w:hint="eastAsia" w:eastAsia="仿宋_GB2312"/>
          <w:sz w:val="32"/>
          <w:szCs w:val="32"/>
          <w:lang w:eastAsia="zh-CN"/>
        </w:rPr>
        <w:t>科学编制项目预算，进一步提高预算编制的精确性。</w:t>
      </w:r>
      <w:r>
        <w:rPr>
          <w:rFonts w:hint="eastAsia" w:eastAsia="仿宋_GB2312"/>
          <w:sz w:val="32"/>
          <w:szCs w:val="32"/>
          <w:lang w:val="en-US" w:eastAsia="zh-CN"/>
        </w:rPr>
        <w:t xml:space="preserve">    </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eastAsia" w:eastAsia="仿宋_GB2312"/>
          <w:sz w:val="32"/>
          <w:szCs w:val="32"/>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p>
      <w:pPr>
        <w:pStyle w:val="2"/>
        <w:rPr>
          <w:rFonts w:hint="eastAsia" w:eastAsia="仿宋_GB2312"/>
          <w:sz w:val="32"/>
          <w:szCs w:val="32"/>
          <w:lang w:val="en-US" w:eastAsia="zh-CN"/>
        </w:rPr>
      </w:pPr>
    </w:p>
    <w:p>
      <w:pPr>
        <w:pStyle w:val="2"/>
        <w:rPr>
          <w:rFonts w:hint="eastAsia" w:eastAsia="仿宋_GB2312"/>
          <w:sz w:val="32"/>
          <w:szCs w:val="32"/>
          <w:lang w:val="en-US" w:eastAsia="zh-CN"/>
        </w:rPr>
      </w:pPr>
      <w:r>
        <w:rPr>
          <w:rFonts w:hint="eastAsia" w:eastAsia="仿宋_GB2312"/>
          <w:sz w:val="32"/>
          <w:szCs w:val="32"/>
          <w:lang w:val="en-US" w:eastAsia="zh-CN"/>
        </w:rPr>
        <w:t xml:space="preserve">                       南岳</w:t>
      </w:r>
      <w:bookmarkStart w:id="0" w:name="_GoBack"/>
      <w:bookmarkEnd w:id="0"/>
      <w:r>
        <w:rPr>
          <w:rFonts w:hint="eastAsia" w:eastAsia="仿宋_GB2312"/>
          <w:sz w:val="32"/>
          <w:szCs w:val="32"/>
          <w:lang w:val="en-US" w:eastAsia="zh-CN"/>
        </w:rPr>
        <w:t>区环境卫生所</w:t>
      </w:r>
    </w:p>
    <w:p>
      <w:pPr>
        <w:pStyle w:val="2"/>
        <w:rPr>
          <w:rFonts w:hint="default" w:eastAsia="仿宋_GB2312"/>
          <w:sz w:val="32"/>
          <w:szCs w:val="32"/>
          <w:lang w:val="en-US" w:eastAsia="zh-CN"/>
        </w:rPr>
      </w:pPr>
      <w:r>
        <w:rPr>
          <w:rFonts w:hint="eastAsia" w:eastAsia="仿宋_GB2312"/>
          <w:sz w:val="32"/>
          <w:szCs w:val="32"/>
          <w:lang w:val="en-US" w:eastAsia="zh-CN"/>
        </w:rPr>
        <w:t xml:space="preserve">                           2022年1月27日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06247"/>
    <w:rsid w:val="00881676"/>
    <w:rsid w:val="149B2A0B"/>
    <w:rsid w:val="1F0D51B6"/>
    <w:rsid w:val="20E67351"/>
    <w:rsid w:val="28606852"/>
    <w:rsid w:val="29EF7861"/>
    <w:rsid w:val="30BE2A8F"/>
    <w:rsid w:val="37213BB9"/>
    <w:rsid w:val="3F0B2EDD"/>
    <w:rsid w:val="429F3322"/>
    <w:rsid w:val="43102595"/>
    <w:rsid w:val="4A1504A0"/>
    <w:rsid w:val="50E77F7A"/>
    <w:rsid w:val="52C14B04"/>
    <w:rsid w:val="55A02E49"/>
    <w:rsid w:val="58E06247"/>
    <w:rsid w:val="64A2122F"/>
    <w:rsid w:val="6713109A"/>
    <w:rsid w:val="67B42849"/>
    <w:rsid w:val="71BD756A"/>
    <w:rsid w:val="751B6785"/>
    <w:rsid w:val="752E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宋体"/>
      <w:kern w:val="0"/>
      <w:sz w:val="20"/>
    </w:rPr>
  </w:style>
  <w:style w:type="paragraph" w:styleId="3">
    <w:name w:val="Body Text Indent"/>
    <w:basedOn w:val="1"/>
    <w:qFormat/>
    <w:uiPriority w:val="0"/>
    <w:pPr>
      <w:spacing w:after="120"/>
      <w:ind w:left="420" w:leftChars="200"/>
    </w:pPr>
  </w:style>
  <w:style w:type="paragraph" w:styleId="4">
    <w:name w:val="Body Text"/>
    <w:basedOn w:val="1"/>
    <w:unhideWhenUsed/>
    <w:qFormat/>
    <w:uiPriority w:val="1"/>
    <w:pPr>
      <w:spacing w:beforeLines="0" w:afterLines="0"/>
    </w:pPr>
    <w:rPr>
      <w:rFonts w:hint="eastAsia"/>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样式3"/>
    <w:basedOn w:val="1"/>
    <w:qFormat/>
    <w:uiPriority w:val="0"/>
    <w:rPr>
      <w:rFonts w:ascii="Times New Roman" w:hAnsi="Times New Roman" w:eastAsia="仿宋_GB2312" w:cs="Times New Roman"/>
      <w:spacing w:val="113"/>
      <w:sz w:val="32"/>
    </w:rPr>
  </w:style>
  <w:style w:type="paragraph" w:customStyle="1" w:styleId="11">
    <w:name w:val="样式4"/>
    <w:basedOn w:val="1"/>
    <w:qFormat/>
    <w:uiPriority w:val="0"/>
    <w:rPr>
      <w:rFonts w:ascii="Times New Roman" w:hAnsi="Times New Roman" w:eastAsia="仿宋_GB2312" w:cs="Times New Roman"/>
      <w:snapToGrid w:val="0"/>
      <w:spacing w:val="79"/>
      <w:sz w:val="32"/>
    </w:rPr>
  </w:style>
  <w:style w:type="paragraph" w:customStyle="1" w:styleId="12">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2022-01-27T06:17:33Z</cp:lastPrinted>
  <dcterms:modified xsi:type="dcterms:W3CDTF">2022-01-27T06:18:48Z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61D255E3BF1C421C99137D6DC6A1656E</vt:lpwstr>
  </property>
</Properties>
</file>