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 w:cs="黑体"/>
          <w:color w:val="000000"/>
          <w:kern w:val="0"/>
          <w:sz w:val="70"/>
          <w:szCs w:val="70"/>
          <w:lang w:val="en-US" w:eastAsia="zh-CN"/>
        </w:rPr>
      </w:pPr>
    </w:p>
    <w:p>
      <w:pPr>
        <w:widowControl/>
        <w:jc w:val="center"/>
        <w:rPr>
          <w:rFonts w:eastAsia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衡阳市南岳区景区门票管理中心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年度部门整体支出绩效评价报告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 国务院关于全面实施预算绩效管理的意见》的文件精神，我厅对部门整体支出进行了绩效评价，现报告如下：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eastAsia" w:ascii="黑体" w:hAnsi="Times New Roman" w:eastAsia="黑体" w:cs="Times New Roman"/>
          <w:sz w:val="32"/>
          <w:szCs w:val="32"/>
        </w:rPr>
        <w:t>单位基本情况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  <w:t>1、负责中心景区和南岳大庙门票发售及查验工作。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  <w:t>2、负责门票收入的统计、汇总及票证、票款的管理。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  <w:t>3、负责宣传、解释和严格执行香客、学生、旅行社团体客人门票优惠政策。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  <w:t>4、负责重要公务接侍免票的操作与管理。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  <w:t>5、负责门票的稽查，维护正常的门票征管秩序，防止门票收入跑、冒、滴、漏。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  <w:t>6、负责香客、学生旅游市场营销，制定并组织实施香客、学生市场促销计划。.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  <w:t>7、负责门票征收景点范围内社会治安综合治理工作，依法打击扰乱门票征收秩序行为。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  <w:t>8、完成区委、区人民政府交办的其他工作。</w:t>
      </w:r>
    </w:p>
    <w:p>
      <w:pPr>
        <w:widowControl/>
        <w:spacing w:line="600" w:lineRule="exact"/>
        <w:ind w:firstLine="1120" w:firstLineChars="4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numPr>
          <w:ilvl w:val="0"/>
          <w:numId w:val="1"/>
        </w:numPr>
        <w:spacing w:line="600" w:lineRule="exact"/>
        <w:ind w:left="-630" w:leftChars="0" w:firstLine="630" w:firstLineChars="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机构设置情况</w:t>
      </w:r>
    </w:p>
    <w:p>
      <w:pPr>
        <w:widowControl/>
        <w:numPr>
          <w:ilvl w:val="0"/>
          <w:numId w:val="0"/>
        </w:numPr>
        <w:spacing w:line="600" w:lineRule="exact"/>
        <w:ind w:firstLine="1120" w:firstLineChars="400"/>
        <w:jc w:val="left"/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  <w:t>我单位是全额拨款的正科级事业单位，根据编办核定，我处内设四个股室：办公室、计财股 、营销股、稽核股；三个二级机构：大庙所、康家垅所，西岭所。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bidi="ar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2021</w:t>
      </w:r>
      <w:r>
        <w:rPr>
          <w:rFonts w:eastAsia="仿宋_GB2312"/>
          <w:sz w:val="32"/>
          <w:szCs w:val="32"/>
        </w:rPr>
        <w:t>年末，我单位共有编制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91</w:t>
      </w:r>
      <w:r>
        <w:rPr>
          <w:rFonts w:eastAsia="仿宋_GB2312"/>
          <w:sz w:val="32"/>
          <w:szCs w:val="32"/>
        </w:rPr>
        <w:t>人，事业编制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85</w:t>
      </w:r>
      <w:r>
        <w:rPr>
          <w:rFonts w:eastAsia="仿宋_GB2312"/>
          <w:sz w:val="32"/>
          <w:szCs w:val="32"/>
        </w:rPr>
        <w:t>人</w:t>
      </w:r>
      <w:r>
        <w:rPr>
          <w:rFonts w:hint="eastAsia" w:eastAsia="仿宋_GB2312"/>
          <w:sz w:val="32"/>
          <w:szCs w:val="32"/>
          <w:lang w:eastAsia="zh-CN"/>
        </w:rPr>
        <w:t>，自收自支编</w:t>
      </w:r>
      <w:r>
        <w:rPr>
          <w:rFonts w:hint="eastAsia" w:eastAsia="仿宋_GB2312"/>
          <w:sz w:val="32"/>
          <w:szCs w:val="32"/>
          <w:lang w:val="en-US" w:eastAsia="zh-CN"/>
        </w:rPr>
        <w:t>6人</w:t>
      </w:r>
      <w:r>
        <w:rPr>
          <w:rFonts w:eastAsia="仿宋_GB2312"/>
          <w:sz w:val="32"/>
          <w:szCs w:val="32"/>
        </w:rPr>
        <w:t>。年末实有在职人员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91</w:t>
      </w:r>
      <w:r>
        <w:rPr>
          <w:rFonts w:eastAsia="仿宋_GB2312"/>
          <w:sz w:val="32"/>
          <w:szCs w:val="32"/>
        </w:rPr>
        <w:t>人，离休人员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68</w:t>
      </w:r>
      <w:r>
        <w:rPr>
          <w:rFonts w:eastAsia="仿宋_GB2312"/>
          <w:sz w:val="32"/>
          <w:szCs w:val="32"/>
        </w:rPr>
        <w:t>人。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基本支出系保障我</w:t>
      </w:r>
      <w:r>
        <w:rPr>
          <w:rFonts w:hint="eastAsia" w:eastAsia="仿宋_GB2312"/>
          <w:sz w:val="32"/>
          <w:szCs w:val="32"/>
          <w:lang w:eastAsia="zh-CN"/>
        </w:rPr>
        <w:t>中心</w:t>
      </w:r>
      <w:r>
        <w:rPr>
          <w:rFonts w:eastAsia="仿宋_GB2312"/>
          <w:sz w:val="32"/>
          <w:szCs w:val="32"/>
        </w:rPr>
        <w:t>机构正常运转、完成日常工作任务而发生的各项支出，包括用于在职和离退休人员基本工资、津贴补贴等人员经费以及办公费、印刷费、水电费、办公设备购置等日常公用经费。20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年基本支出</w:t>
      </w:r>
      <w:r>
        <w:rPr>
          <w:rFonts w:hint="eastAsia" w:eastAsia="仿宋_GB2312"/>
          <w:sz w:val="32"/>
          <w:szCs w:val="32"/>
          <w:lang w:val="en-US" w:eastAsia="zh-CN"/>
        </w:rPr>
        <w:t>2212.28</w:t>
      </w:r>
      <w:r>
        <w:rPr>
          <w:rFonts w:eastAsia="仿宋_GB2312"/>
          <w:sz w:val="32"/>
          <w:szCs w:val="32"/>
        </w:rPr>
        <w:t>万元，较上年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1028.15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color w:val="000000"/>
          <w:sz w:val="32"/>
          <w:szCs w:val="32"/>
        </w:rPr>
        <w:t>基本支出中人员经费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1570.21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70.97</w:t>
      </w:r>
      <w:r>
        <w:rPr>
          <w:rFonts w:eastAsia="仿宋_GB2312"/>
          <w:color w:val="000000"/>
          <w:sz w:val="32"/>
          <w:szCs w:val="32"/>
        </w:rPr>
        <w:t>%，较上年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下降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30.82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eastAsia="仿宋_GB2312"/>
          <w:color w:val="000000"/>
          <w:sz w:val="32"/>
          <w:szCs w:val="32"/>
        </w:rPr>
        <w:t>日常公用经费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642.07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29.03</w:t>
      </w:r>
      <w:r>
        <w:rPr>
          <w:rFonts w:eastAsia="仿宋_GB2312"/>
          <w:color w:val="000000"/>
          <w:sz w:val="32"/>
          <w:szCs w:val="32"/>
        </w:rPr>
        <w:t>%，较上年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下降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33.83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，主要原因是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受疫情影响和压减非重点、刚性支出要求，我单位厉行节约、严格把关，严控三公经费支出，大力压减公用经费支出。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sz w:val="32"/>
          <w:szCs w:val="32"/>
        </w:rPr>
        <w:t>项目支出情况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项目支出系我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为完成财政财务管理工作而发生的支出，包括行业工作经费和运行维护经费。业务工作经费支出主要用于</w:t>
      </w:r>
      <w:r>
        <w:rPr>
          <w:rFonts w:hint="eastAsia" w:eastAsia="仿宋_GB2312"/>
          <w:sz w:val="32"/>
          <w:szCs w:val="32"/>
          <w:lang w:eastAsia="zh-CN"/>
        </w:rPr>
        <w:t>站所日常</w:t>
      </w:r>
      <w:r>
        <w:rPr>
          <w:rFonts w:eastAsia="仿宋_GB2312"/>
          <w:sz w:val="32"/>
          <w:szCs w:val="32"/>
        </w:rPr>
        <w:t>经费</w:t>
      </w:r>
      <w:r>
        <w:rPr>
          <w:rFonts w:hint="eastAsia" w:eastAsia="仿宋_GB2312"/>
          <w:sz w:val="32"/>
          <w:szCs w:val="32"/>
          <w:lang w:eastAsia="zh-CN"/>
        </w:rPr>
        <w:t>、服装经费、门票稽查经费和网络通讯费</w:t>
      </w:r>
      <w:r>
        <w:rPr>
          <w:rFonts w:eastAsia="仿宋_GB2312"/>
          <w:sz w:val="32"/>
          <w:szCs w:val="32"/>
        </w:rPr>
        <w:t>等方面。20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年项目支出</w:t>
      </w:r>
      <w:r>
        <w:rPr>
          <w:rFonts w:hint="eastAsia" w:eastAsia="仿宋_GB2312"/>
          <w:sz w:val="32"/>
          <w:szCs w:val="32"/>
          <w:lang w:val="en-US" w:eastAsia="zh-CN"/>
        </w:rPr>
        <w:t>760.72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eastAsia="zh-CN"/>
        </w:rPr>
        <w:t>增加</w:t>
      </w:r>
      <w:r>
        <w:rPr>
          <w:rFonts w:hint="eastAsia" w:eastAsia="仿宋_GB2312"/>
          <w:sz w:val="32"/>
          <w:szCs w:val="32"/>
          <w:lang w:val="en-US" w:eastAsia="zh-CN"/>
        </w:rPr>
        <w:t>435.54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其中业务工作经费支出</w:t>
      </w:r>
      <w:r>
        <w:rPr>
          <w:rFonts w:hint="eastAsia" w:eastAsia="仿宋_GB2312"/>
          <w:sz w:val="32"/>
          <w:szCs w:val="32"/>
          <w:lang w:val="en-US" w:eastAsia="zh-CN"/>
        </w:rPr>
        <w:t>504.37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eastAsia="zh-CN"/>
        </w:rPr>
        <w:t>增加</w:t>
      </w:r>
      <w:r>
        <w:rPr>
          <w:rFonts w:hint="eastAsia" w:eastAsia="仿宋_GB2312"/>
          <w:sz w:val="32"/>
          <w:szCs w:val="32"/>
          <w:lang w:val="en-US" w:eastAsia="zh-CN"/>
        </w:rPr>
        <w:t>499.85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  <w:lang w:eastAsia="zh-CN"/>
        </w:rPr>
        <w:t>统聘人员经费列入其他工资福利</w:t>
      </w:r>
      <w:r>
        <w:rPr>
          <w:rFonts w:eastAsia="仿宋_GB2312"/>
          <w:sz w:val="32"/>
          <w:szCs w:val="32"/>
        </w:rPr>
        <w:t>；运行维护经费支出</w:t>
      </w:r>
      <w:r>
        <w:rPr>
          <w:rFonts w:hint="eastAsia" w:eastAsia="仿宋_GB2312"/>
          <w:sz w:val="32"/>
          <w:szCs w:val="32"/>
          <w:lang w:val="en-US" w:eastAsia="zh-CN"/>
        </w:rPr>
        <w:t>256.35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64.31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下降</w:t>
      </w:r>
      <w:r>
        <w:rPr>
          <w:rFonts w:hint="eastAsia" w:eastAsia="仿宋_GB2312"/>
          <w:sz w:val="32"/>
          <w:szCs w:val="32"/>
          <w:lang w:val="en-US" w:eastAsia="zh-CN"/>
        </w:rPr>
        <w:t>20.05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eastAsia="仿宋_GB2312"/>
          <w:sz w:val="32"/>
          <w:szCs w:val="32"/>
          <w:lang w:eastAsia="zh-CN"/>
        </w:rPr>
        <w:t>由于疫情期间项目完成进度受到阻滞，</w:t>
      </w:r>
      <w:r>
        <w:rPr>
          <w:rFonts w:hint="eastAsia" w:eastAsia="仿宋_GB2312"/>
          <w:sz w:val="32"/>
          <w:szCs w:val="32"/>
          <w:lang w:val="en-US" w:eastAsia="zh-CN"/>
        </w:rPr>
        <w:t>香客市场营销取消出省促销。</w:t>
      </w:r>
    </w:p>
    <w:p>
      <w:pPr>
        <w:widowControl/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widowControl/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z w:val="32"/>
          <w:szCs w:val="32"/>
        </w:rPr>
        <w:t>年是极不平凡、极其不易的一年。受新冠肺炎疫情的严重冲击，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门票</w:t>
      </w:r>
      <w:r>
        <w:rPr>
          <w:rFonts w:ascii="Times New Roman" w:hAnsi="Times New Roman" w:eastAsia="仿宋_GB2312"/>
          <w:sz w:val="32"/>
          <w:szCs w:val="32"/>
        </w:rPr>
        <w:t>收入大幅下滑，收支矛盾异常突出。大战大考面前，全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中心工作人员</w:t>
      </w:r>
      <w:r>
        <w:rPr>
          <w:rFonts w:ascii="Times New Roman" w:hAnsi="Times New Roman" w:eastAsia="仿宋_GB2312"/>
          <w:sz w:val="32"/>
          <w:szCs w:val="32"/>
        </w:rPr>
        <w:t>迎难而上、砥砺奋进，推动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门票</w:t>
      </w:r>
      <w:r>
        <w:rPr>
          <w:rFonts w:ascii="Times New Roman" w:hAnsi="Times New Roman" w:eastAsia="仿宋_GB2312"/>
          <w:sz w:val="32"/>
          <w:szCs w:val="32"/>
        </w:rPr>
        <w:t>收入持续好转。全年预算执行总体良好，各项工作任务圆满完成，交出了一份满意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答卷。20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门票</w:t>
      </w:r>
      <w:r>
        <w:rPr>
          <w:rFonts w:ascii="Times New Roman" w:hAnsi="Times New Roman" w:eastAsia="仿宋_GB2312"/>
          <w:sz w:val="32"/>
          <w:szCs w:val="32"/>
        </w:rPr>
        <w:t>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2.83</w:t>
      </w:r>
      <w:r>
        <w:rPr>
          <w:rFonts w:ascii="Times New Roman" w:hAnsi="Times New Roman" w:eastAsia="仿宋_GB2312"/>
          <w:sz w:val="32"/>
          <w:szCs w:val="32"/>
        </w:rPr>
        <w:t>亿元，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其中中心景区收入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1.61亿元，大庙景区1.22亿元。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/>
          <w:spacing w:val="-2"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1、</w:t>
      </w:r>
      <w:r>
        <w:rPr>
          <w:rFonts w:ascii="Times New Roman" w:hAnsi="Times New Roman" w:eastAsia="楷体_GB2312"/>
          <w:b/>
          <w:sz w:val="32"/>
          <w:szCs w:val="32"/>
        </w:rPr>
        <w:t>以非常之功应对非常之</w:t>
      </w:r>
      <w:r>
        <w:rPr>
          <w:rFonts w:hint="eastAsia" w:ascii="Times New Roman" w:hAnsi="Times New Roman" w:eastAsia="楷体_GB2312"/>
          <w:b/>
          <w:sz w:val="32"/>
          <w:szCs w:val="32"/>
        </w:rPr>
        <w:t>势</w:t>
      </w:r>
      <w:r>
        <w:rPr>
          <w:rFonts w:ascii="Times New Roman" w:hAnsi="Times New Roman" w:eastAsia="楷体_GB2312"/>
          <w:b/>
          <w:sz w:val="32"/>
          <w:szCs w:val="32"/>
        </w:rPr>
        <w:t>，全力支持疫情防控和</w:t>
      </w:r>
      <w:r>
        <w:rPr>
          <w:rFonts w:hint="eastAsia" w:ascii="Times New Roman" w:hAnsi="Times New Roman" w:eastAsia="楷体_GB2312"/>
          <w:b/>
          <w:sz w:val="32"/>
          <w:szCs w:val="32"/>
          <w:lang w:eastAsia="zh-CN"/>
        </w:rPr>
        <w:t>门票征收</w:t>
      </w:r>
      <w:r>
        <w:rPr>
          <w:rFonts w:ascii="Times New Roman" w:hAnsi="Times New Roman" w:eastAsia="楷体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疫情爆发，门票卡口积极配合疫情防控办工作，达到景区无疫情，景区有交代。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Times New Roman" w:hAnsi="Times New Roman" w:eastAsia="楷体_GB2312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2、</w:t>
      </w:r>
      <w:r>
        <w:rPr>
          <w:rFonts w:ascii="Times New Roman" w:hAnsi="Times New Roman" w:eastAsia="楷体_GB2312"/>
          <w:b/>
          <w:sz w:val="32"/>
          <w:szCs w:val="32"/>
        </w:rPr>
        <w:t>实施更加积极有为的</w:t>
      </w:r>
      <w:r>
        <w:rPr>
          <w:rFonts w:hint="eastAsia" w:ascii="Times New Roman" w:hAnsi="Times New Roman" w:eastAsia="楷体_GB2312"/>
          <w:b/>
          <w:sz w:val="32"/>
          <w:szCs w:val="32"/>
          <w:lang w:eastAsia="zh-CN"/>
        </w:rPr>
        <w:t>营销</w:t>
      </w:r>
      <w:r>
        <w:rPr>
          <w:rFonts w:ascii="Times New Roman" w:hAnsi="Times New Roman" w:eastAsia="楷体_GB2312"/>
          <w:b/>
          <w:sz w:val="32"/>
          <w:szCs w:val="32"/>
        </w:rPr>
        <w:t>政策，</w:t>
      </w:r>
      <w:r>
        <w:rPr>
          <w:rFonts w:hint="eastAsia" w:ascii="Times New Roman" w:hAnsi="Times New Roman" w:eastAsia="楷体_GB2312"/>
          <w:b/>
          <w:sz w:val="32"/>
          <w:szCs w:val="32"/>
          <w:lang w:eastAsia="zh-CN"/>
        </w:rPr>
        <w:t>稳定香客市场现有客源，拓展新客源地</w:t>
      </w:r>
    </w:p>
    <w:p>
      <w:pPr>
        <w:tabs>
          <w:tab w:val="left" w:pos="3170"/>
        </w:tabs>
        <w:spacing w:line="560" w:lineRule="exact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抓住重点人群分析研究客源群体特征，做细做实推广方案。以“香头倍增计划”为抓手，拓展成熟市场周边的潜在市场，做到无缝连片对接。大力培育成熟香客市场年轻一代香头，扶持新兴市场的香会组织对接人，不断稳固成熟传统香客市场基本盘；找准旅游营销市场的切入点，突出社区组织和群体重心，加强与当地旅行社和社区合作，利用其本土宣传优势进行强力宣传推介；借助区内粤港澳大湾区市场拓展东风，探索粤港澳大湾区深化合作方式，引进企业员工来岳休闲旅游、举办年会；充分利用实名分时预约票务系统后台大数据，分析研判市场主体变化情况，精准拓展客源市场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通过前述对我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整体支出情况的分析，反映出目前整体支出主要在预算执行方面还存在一些问题和不足：</w:t>
      </w:r>
    </w:p>
    <w:p>
      <w:pPr>
        <w:spacing w:line="600" w:lineRule="exact"/>
        <w:ind w:firstLine="643" w:firstLineChars="200"/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</w:pPr>
      <w:r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  <w:t>（一）部分项目完成度有待提升。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由于疫情冲击影响的客观因素，以及牢固树立过紧日子思想，主动压缩非重点、刚性支出的主观因素，导致部分预算项目如营销经费执行情况不理想，营销经费实际支付进度为</w:t>
      </w:r>
      <w:r>
        <w:rPr>
          <w:rFonts w:hint="eastAsia" w:eastAsia="仿宋_GB2312"/>
          <w:sz w:val="32"/>
          <w:szCs w:val="32"/>
          <w:lang w:val="en-US" w:eastAsia="zh-CN"/>
        </w:rPr>
        <w:t>50.43% 。</w:t>
      </w:r>
      <w:r>
        <w:rPr>
          <w:rFonts w:hint="eastAsia" w:eastAsia="仿宋_GB2312"/>
          <w:sz w:val="32"/>
          <w:szCs w:val="32"/>
        </w:rPr>
        <w:t>我们将在</w:t>
      </w:r>
      <w:r>
        <w:rPr>
          <w:rFonts w:eastAsia="仿宋_GB2312"/>
          <w:sz w:val="32"/>
          <w:szCs w:val="32"/>
        </w:rPr>
        <w:t>下年加以重视，</w:t>
      </w:r>
      <w:r>
        <w:rPr>
          <w:rFonts w:hint="eastAsia" w:eastAsia="仿宋_GB2312"/>
          <w:sz w:val="32"/>
          <w:szCs w:val="32"/>
        </w:rPr>
        <w:t>提前谋划，</w:t>
      </w:r>
      <w:r>
        <w:rPr>
          <w:rFonts w:hint="eastAsia" w:eastAsia="仿宋_GB2312"/>
          <w:sz w:val="32"/>
          <w:szCs w:val="32"/>
          <w:lang w:eastAsia="zh-CN"/>
        </w:rPr>
        <w:t>科学编制项目预算，进一步提高预算编制的精确性。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600" w:lineRule="exact"/>
        <w:ind w:firstLine="643" w:firstLineChars="200"/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</w:pPr>
      <w:r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  <w:t>（二）部分项目实施与预算执行存在脱节。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受疫情影响，部分项目启动较晚，实施周期相对较长，导致项目验收晚，预算执行进度偏慢，相对比较集中。</w:t>
      </w:r>
      <w:r>
        <w:rPr>
          <w:rFonts w:hint="eastAsia" w:eastAsia="仿宋_GB2312"/>
          <w:sz w:val="32"/>
          <w:szCs w:val="32"/>
          <w:lang w:val="en-US" w:eastAsia="zh-CN"/>
        </w:rPr>
        <w:t>我们将在下年予以重视，督促项目实施单位早启动、早实施、早验收，对符合条件的项目按照项目进度支付相关款项。</w:t>
      </w:r>
    </w:p>
    <w:p>
      <w:pPr>
        <w:widowControl/>
        <w:numPr>
          <w:ilvl w:val="0"/>
          <w:numId w:val="3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针对上述存在的问题，拟采取以下改进措施：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强化预算管理，定期开展预算执行分析。</w:t>
      </w:r>
      <w:r>
        <w:rPr>
          <w:rFonts w:hint="eastAsia" w:eastAsia="仿宋_GB2312"/>
          <w:sz w:val="32"/>
          <w:szCs w:val="32"/>
          <w:lang w:val="en-US" w:eastAsia="zh-CN"/>
        </w:rPr>
        <w:t>通过定期对项目实施和预算执行情况进行梳理，及时掌握项目进度，督促项目实施单位早启动、早实施、早验收，对符合条件的项目按照项目进度支付相关款项，将预算资金管理贯穿于项目实施全过程中。对未启动项目及时分析原因，根据资金使用情况调整下年预算安排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F26E64"/>
    <w:multiLevelType w:val="singleLevel"/>
    <w:tmpl w:val="04F26E64"/>
    <w:lvl w:ilvl="0" w:tentative="0">
      <w:start w:val="2"/>
      <w:numFmt w:val="chineseCounting"/>
      <w:suff w:val="nothing"/>
      <w:lvlText w:val="（%1）"/>
      <w:lvlJc w:val="left"/>
      <w:pPr>
        <w:ind w:left="-630"/>
      </w:pPr>
      <w:rPr>
        <w:rFonts w:hint="eastAsia"/>
      </w:rPr>
    </w:lvl>
  </w:abstractNum>
  <w:abstractNum w:abstractNumId="2">
    <w:nsid w:val="692A871F"/>
    <w:multiLevelType w:val="singleLevel"/>
    <w:tmpl w:val="692A87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MDFjMDU0Y2U4NmRkMGE5NmI4MTg1ZTk1YjY0NWQifQ=="/>
  </w:docVars>
  <w:rsids>
    <w:rsidRoot w:val="58E06247"/>
    <w:rsid w:val="00881676"/>
    <w:rsid w:val="149B2A0B"/>
    <w:rsid w:val="1BBB57AD"/>
    <w:rsid w:val="20E67351"/>
    <w:rsid w:val="28606852"/>
    <w:rsid w:val="29EF7861"/>
    <w:rsid w:val="30BE2A8F"/>
    <w:rsid w:val="429F3322"/>
    <w:rsid w:val="43102595"/>
    <w:rsid w:val="4A1504A0"/>
    <w:rsid w:val="52C14B04"/>
    <w:rsid w:val="55A02E49"/>
    <w:rsid w:val="57812D77"/>
    <w:rsid w:val="58E06247"/>
    <w:rsid w:val="5B501060"/>
    <w:rsid w:val="64A2122F"/>
    <w:rsid w:val="6713109A"/>
    <w:rsid w:val="67B42849"/>
    <w:rsid w:val="71BD756A"/>
    <w:rsid w:val="751B6785"/>
    <w:rsid w:val="7A8479F2"/>
    <w:rsid w:val="7CD9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1900</Words>
  <Characters>2013</Characters>
  <Lines>0</Lines>
  <Paragraphs>0</Paragraphs>
  <TotalTime>19</TotalTime>
  <ScaleCrop>false</ScaleCrop>
  <LinksUpToDate>false</LinksUpToDate>
  <CharactersWithSpaces>2028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Administrator</cp:lastModifiedBy>
  <cp:lastPrinted>2023-02-02T03:10:38Z</cp:lastPrinted>
  <dcterms:modified xsi:type="dcterms:W3CDTF">2023-02-02T03:42:55Z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18740D75EDAC4248976603F2B908E186</vt:lpwstr>
  </property>
</Properties>
</file>