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0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699"/>
        <w:gridCol w:w="1276"/>
        <w:gridCol w:w="567"/>
        <w:gridCol w:w="1701"/>
        <w:gridCol w:w="1276"/>
        <w:gridCol w:w="815"/>
        <w:gridCol w:w="602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0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sz w:val="36"/>
                <w:szCs w:val="36"/>
              </w:rPr>
              <w:t>南岳区总工会绩效自评表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全区单位工会工作经费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项目负责人及电话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闵文艳13875709695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主管部门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区人民政府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实施单位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南岳区总工会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资金情况（万元）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年初预算资金总额：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实际投入资金额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产生差异的原因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17.89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其中：财政拨款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17.89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实际支出减少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其他资金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</w:t>
            </w:r>
          </w:p>
        </w:tc>
        <w:tc>
          <w:tcPr>
            <w:tcW w:w="1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4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年度目标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年度总体目标完成情况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42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开展以“奋战一百天 实现双过半”、“匠心筑梦 劳动最美”系列劳动竞赛活动，组织好庆“五一”、“七一”、“十一”、“元旦”系列职工文体活动如全区职工篮球赛、推广工间操、环城跑活动等，引领职工群众凝心聚力、同心同行，以维护、建设、参与、教育为基本遵循，精心做好“双联”和困难职工维权帮扶工作及劳模走访慰问工作，深入推进职工医疗互助和工资集体协商及民主管理工作，规范工会组建和“职工之家”建设，积极做好劳动保护工作，发挥党联系职工群众的桥梁和纽带作用。</w:t>
            </w:r>
          </w:p>
        </w:tc>
        <w:tc>
          <w:tcPr>
            <w:tcW w:w="3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atLeas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区各级工会在区委、区政府和市总的坚强领导下，全面贯彻落实习近平新时代中国特色社会主义思想和党的十九大、十九届四中、五中全会精神，紧紧围绕“三贴近”（贴近中心促发展、贴近职工办实事、贴近基层搞服务）、“三增强”（增强政治性、先进性、群众性）工作主线，充分发挥联系职工的桥梁纽带作用，服务大局、服务职工，强化维权服务、深化改革创新，新时代工会工作取得了新的成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绩效指标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全年实际完成值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产生差异的原因及改进措施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举办全区性工会活动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≥10次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职工走访次数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≥5次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工会活动覆盖率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=100%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工会活动开展及时率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=100%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全区单位工会经费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≤18万元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textAlignment w:val="center"/>
            </w:pPr>
            <w:r>
              <w:rPr>
                <w:rFonts w:hint="eastAsia"/>
              </w:rPr>
              <w:t>17.89万元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经济效益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助力旅游产业转型升级和国家卫生城市创建工作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有所帮助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ahoma" w:hAnsi="Tahoma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有所帮助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社会效益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增强职工凝聚力，向心力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明显增强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ahoma" w:hAnsi="Tahoma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明显增强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环境效益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倡导绿色环保型工会活动，引导职工绿色生活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有推动作用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ahoma" w:hAnsi="Tahoma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有推动作用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通过“活力工会、有为工会”的打造，工会工作、工会活动持续有力有效。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有明显效果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ahoma" w:hAnsi="Tahoma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有明显效果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满意度指标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00" w:afterAutospacing="1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工人阶层满意度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≥98%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Tahoma" w:hAnsi="Tahoma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≥98%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社会群众满意度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≥98%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98%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bookmarkEnd w:id="0"/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ZmM4MTYyNDBjMzYxOTQ4NTc3NmZmMTFmYjk3ZmUifQ=="/>
  </w:docVars>
  <w:rsids>
    <w:rsidRoot w:val="00D31D50"/>
    <w:rsid w:val="002C3F5C"/>
    <w:rsid w:val="00323B43"/>
    <w:rsid w:val="00365F34"/>
    <w:rsid w:val="00392ACA"/>
    <w:rsid w:val="003A7577"/>
    <w:rsid w:val="003D37D8"/>
    <w:rsid w:val="00426133"/>
    <w:rsid w:val="00432BCF"/>
    <w:rsid w:val="004358AB"/>
    <w:rsid w:val="004D1F66"/>
    <w:rsid w:val="004D50BD"/>
    <w:rsid w:val="005B6193"/>
    <w:rsid w:val="006A3283"/>
    <w:rsid w:val="007F79D8"/>
    <w:rsid w:val="008B7726"/>
    <w:rsid w:val="00910EA3"/>
    <w:rsid w:val="00B8031A"/>
    <w:rsid w:val="00C653B3"/>
    <w:rsid w:val="00C84015"/>
    <w:rsid w:val="00C8645D"/>
    <w:rsid w:val="00D31D50"/>
    <w:rsid w:val="00DE5E50"/>
    <w:rsid w:val="00DF0BFD"/>
    <w:rsid w:val="00E24D32"/>
    <w:rsid w:val="00EE7E79"/>
    <w:rsid w:val="00F4019C"/>
    <w:rsid w:val="00F74391"/>
    <w:rsid w:val="00FC28F5"/>
    <w:rsid w:val="2D374DFA"/>
    <w:rsid w:val="2E4647A4"/>
    <w:rsid w:val="3AD62A0C"/>
    <w:rsid w:val="79FB7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828</Words>
  <Characters>877</Characters>
  <Lines>5</Lines>
  <Paragraphs>1</Paragraphs>
  <TotalTime>2</TotalTime>
  <ScaleCrop>false</ScaleCrop>
  <LinksUpToDate>false</LinksUpToDate>
  <CharactersWithSpaces>879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不爱运动的人</cp:lastModifiedBy>
  <dcterms:modified xsi:type="dcterms:W3CDTF">2023-06-20T02:45:48Z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480BB7FC84CB4D3FB972A1A364172A3B</vt:lpwstr>
  </property>
</Properties>
</file>