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_GBK"/>
          <w:sz w:val="36"/>
          <w:szCs w:val="36"/>
        </w:rPr>
      </w:pPr>
      <w:r>
        <w:rPr>
          <w:rFonts w:hint="eastAsia" w:ascii="方正小标宋简体" w:hAnsi="方正小标宋简体" w:eastAsia="方正小标宋简体" w:cs="方正小标宋简体"/>
          <w:sz w:val="36"/>
          <w:szCs w:val="36"/>
          <w:lang w:val="en-US" w:eastAsia="zh-CN"/>
        </w:rPr>
        <w:t>南岳区社会化禁毒事务中心2021</w:t>
      </w:r>
      <w:r>
        <w:rPr>
          <w:rFonts w:hint="eastAsia" w:ascii="方正小标宋简体" w:hAnsi="方正小标宋简体" w:eastAsia="方正小标宋简体" w:cs="方正小标宋简体"/>
          <w:sz w:val="36"/>
          <w:szCs w:val="36"/>
        </w:rPr>
        <w:t>年度部门整体支出绩效评价报告</w:t>
      </w:r>
    </w:p>
    <w:p>
      <w:pPr>
        <w:spacing w:line="600" w:lineRule="exact"/>
        <w:ind w:firstLine="645"/>
        <w:rPr>
          <w:rFonts w:eastAsia="仿宋_GB2312"/>
          <w:sz w:val="32"/>
          <w:szCs w:val="32"/>
        </w:rPr>
      </w:pPr>
      <w:r>
        <w:rPr>
          <w:rFonts w:eastAsia="仿宋_GB2312"/>
          <w:sz w:val="32"/>
          <w:szCs w:val="32"/>
        </w:rPr>
        <w:t>根据《中共中央 国务院关于全面实施预算绩效管理的意见》的文件精神，我</w:t>
      </w:r>
      <w:r>
        <w:rPr>
          <w:rFonts w:hint="eastAsia" w:eastAsia="仿宋_GB2312"/>
          <w:sz w:val="32"/>
          <w:szCs w:val="32"/>
          <w:lang w:val="en-US" w:eastAsia="zh-CN"/>
        </w:rPr>
        <w:t>中心</w:t>
      </w:r>
      <w:r>
        <w:rPr>
          <w:rFonts w:eastAsia="仿宋_GB2312"/>
          <w:sz w:val="32"/>
          <w:szCs w:val="32"/>
        </w:rPr>
        <w:t>对部门整体支出进行了绩效评价，现报告如下：</w:t>
      </w:r>
    </w:p>
    <w:p>
      <w:pPr>
        <w:numPr>
          <w:ilvl w:val="0"/>
          <w:numId w:val="0"/>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一、</w:t>
      </w:r>
      <w:r>
        <w:rPr>
          <w:rFonts w:hint="eastAsia" w:ascii="黑体" w:hAnsi="Times New Roman" w:eastAsia="黑体" w:cs="Times New Roman"/>
          <w:sz w:val="32"/>
          <w:szCs w:val="32"/>
        </w:rPr>
        <w:t>部门（单位）基本情况</w:t>
      </w:r>
    </w:p>
    <w:p>
      <w:pPr>
        <w:widowControl/>
        <w:spacing w:line="600" w:lineRule="exact"/>
        <w:ind w:firstLine="630" w:firstLineChars="196"/>
        <w:jc w:val="left"/>
        <w:rPr>
          <w:rFonts w:eastAsia="楷体_GB2312"/>
          <w:b/>
          <w:snapToGrid w:val="0"/>
          <w:kern w:val="0"/>
          <w:sz w:val="32"/>
          <w:szCs w:val="32"/>
        </w:rPr>
      </w:pPr>
      <w:r>
        <w:rPr>
          <w:rFonts w:eastAsia="楷体_GB2312"/>
          <w:b/>
          <w:snapToGrid w:val="0"/>
          <w:kern w:val="0"/>
          <w:sz w:val="32"/>
          <w:szCs w:val="32"/>
        </w:rPr>
        <w:t>（一）部门职能职责</w:t>
      </w:r>
    </w:p>
    <w:p>
      <w:pPr>
        <w:spacing w:line="500" w:lineRule="exact"/>
        <w:ind w:firstLine="640" w:firstLineChars="200"/>
        <w:rPr>
          <w:rFonts w:eastAsia="方正仿宋简体" w:cs="Times New Roman"/>
          <w:spacing w:val="-6"/>
          <w:sz w:val="32"/>
          <w:szCs w:val="32"/>
        </w:rPr>
      </w:pPr>
      <w:r>
        <w:rPr>
          <w:rFonts w:hint="eastAsia" w:eastAsia="方正仿宋简体" w:cs="Times New Roman"/>
          <w:sz w:val="32"/>
          <w:szCs w:val="32"/>
          <w:lang w:val="en-US" w:eastAsia="zh-CN"/>
        </w:rPr>
        <w:t>1.</w:t>
      </w:r>
      <w:r>
        <w:rPr>
          <w:rFonts w:eastAsia="方正仿宋简体" w:cs="Times New Roman"/>
          <w:sz w:val="32"/>
          <w:szCs w:val="32"/>
        </w:rPr>
        <w:t>贯彻</w:t>
      </w:r>
      <w:r>
        <w:rPr>
          <w:rFonts w:eastAsia="方正仿宋简体" w:cs="Times New Roman"/>
          <w:spacing w:val="-6"/>
          <w:sz w:val="32"/>
          <w:szCs w:val="32"/>
        </w:rPr>
        <w:t>落实国家有关法律、法规和政策，拟定并组织实施全区禁毒工作规划和工作方案，负责区禁毒委员会日常工作。</w:t>
      </w:r>
    </w:p>
    <w:p>
      <w:pPr>
        <w:spacing w:line="500" w:lineRule="exact"/>
        <w:ind w:firstLine="640" w:firstLineChars="200"/>
        <w:rPr>
          <w:rFonts w:eastAsia="方正仿宋简体" w:cs="Times New Roman"/>
          <w:sz w:val="32"/>
          <w:szCs w:val="32"/>
        </w:rPr>
      </w:pPr>
      <w:r>
        <w:rPr>
          <w:rFonts w:hint="eastAsia" w:eastAsia="方正仿宋简体" w:cs="Times New Roman"/>
          <w:sz w:val="32"/>
          <w:szCs w:val="32"/>
          <w:lang w:val="en-US" w:eastAsia="zh-CN"/>
        </w:rPr>
        <w:t>2.</w:t>
      </w:r>
      <w:r>
        <w:rPr>
          <w:rFonts w:eastAsia="方正仿宋简体" w:cs="Times New Roman"/>
          <w:sz w:val="32"/>
          <w:szCs w:val="32"/>
        </w:rPr>
        <w:t>组织、指导、协调全区禁毒工作，负责全区禁毒工作的检查、督促和考评的事务性工作。</w:t>
      </w:r>
    </w:p>
    <w:p>
      <w:pPr>
        <w:spacing w:line="500" w:lineRule="exact"/>
        <w:ind w:firstLine="640" w:firstLineChars="200"/>
        <w:rPr>
          <w:rFonts w:eastAsia="方正仿宋简体" w:cs="Times New Roman"/>
          <w:sz w:val="32"/>
          <w:szCs w:val="32"/>
        </w:rPr>
      </w:pPr>
      <w:r>
        <w:rPr>
          <w:rFonts w:hint="eastAsia" w:eastAsia="方正仿宋简体" w:cs="Times New Roman"/>
          <w:sz w:val="32"/>
          <w:szCs w:val="32"/>
          <w:lang w:val="en-US" w:eastAsia="zh-CN"/>
        </w:rPr>
        <w:t>3.</w:t>
      </w:r>
      <w:r>
        <w:rPr>
          <w:rFonts w:hint="eastAsia" w:eastAsia="方正仿宋简体" w:cs="Times New Roman"/>
          <w:sz w:val="32"/>
          <w:szCs w:val="32"/>
        </w:rPr>
        <w:t>拟订</w:t>
      </w:r>
      <w:r>
        <w:rPr>
          <w:rFonts w:eastAsia="方正仿宋简体" w:cs="Times New Roman"/>
          <w:sz w:val="32"/>
          <w:szCs w:val="32"/>
        </w:rPr>
        <w:t>禁毒预防教育宣传工作规划，组织、协调有关部门及乡镇（街道）开展禁毒预防教育宣传工作，组织承办重大禁毒宣传活动，开展禁毒业务培训。</w:t>
      </w:r>
    </w:p>
    <w:p>
      <w:pPr>
        <w:spacing w:line="500" w:lineRule="exact"/>
        <w:ind w:firstLine="640" w:firstLineChars="200"/>
        <w:rPr>
          <w:rFonts w:eastAsia="方正仿宋简体" w:cs="Times New Roman"/>
          <w:sz w:val="32"/>
          <w:szCs w:val="32"/>
        </w:rPr>
      </w:pPr>
      <w:r>
        <w:rPr>
          <w:rFonts w:hint="eastAsia" w:eastAsia="方正仿宋简体" w:cs="Times New Roman"/>
          <w:sz w:val="32"/>
          <w:szCs w:val="32"/>
          <w:lang w:val="en-US" w:eastAsia="zh-CN"/>
        </w:rPr>
        <w:t>4.</w:t>
      </w:r>
      <w:r>
        <w:rPr>
          <w:rFonts w:eastAsia="方正仿宋简体" w:cs="Times New Roman"/>
          <w:sz w:val="32"/>
          <w:szCs w:val="32"/>
        </w:rPr>
        <w:t>协调、指导有关部门及乡镇（街道）加强对涉毒人员的管控及帮教，开展社区戒毒和社区康复工作。</w:t>
      </w:r>
    </w:p>
    <w:p>
      <w:pPr>
        <w:spacing w:line="500" w:lineRule="exact"/>
        <w:ind w:firstLine="640" w:firstLineChars="200"/>
        <w:rPr>
          <w:rFonts w:eastAsia="方正仿宋简体" w:cs="Times New Roman"/>
          <w:sz w:val="32"/>
          <w:szCs w:val="32"/>
        </w:rPr>
      </w:pPr>
      <w:r>
        <w:rPr>
          <w:rFonts w:hint="eastAsia" w:eastAsia="方正仿宋简体" w:cs="Times New Roman"/>
          <w:sz w:val="32"/>
          <w:szCs w:val="32"/>
          <w:lang w:val="en-US" w:eastAsia="zh-CN"/>
        </w:rPr>
        <w:t>5.</w:t>
      </w:r>
      <w:r>
        <w:rPr>
          <w:rFonts w:eastAsia="方正仿宋简体" w:cs="Times New Roman"/>
          <w:sz w:val="32"/>
          <w:szCs w:val="32"/>
        </w:rPr>
        <w:t>制定全区禁毒、戒毒经费预算和使用计划，负责全区对禁毒专项经费使用情况的监督与管理的事务性工作。</w:t>
      </w:r>
    </w:p>
    <w:p>
      <w:pPr>
        <w:spacing w:line="500" w:lineRule="exact"/>
        <w:ind w:firstLine="640" w:firstLineChars="200"/>
        <w:rPr>
          <w:rFonts w:hint="eastAsia" w:eastAsia="方正仿宋简体" w:cs="Times New Roman"/>
          <w:sz w:val="32"/>
          <w:szCs w:val="32"/>
        </w:rPr>
      </w:pPr>
      <w:r>
        <w:rPr>
          <w:rFonts w:hint="eastAsia" w:eastAsia="方正仿宋简体" w:cs="Times New Roman"/>
          <w:sz w:val="32"/>
          <w:szCs w:val="32"/>
          <w:lang w:val="en-US" w:eastAsia="zh-CN"/>
        </w:rPr>
        <w:t>6.</w:t>
      </w:r>
      <w:r>
        <w:rPr>
          <w:rFonts w:eastAsia="方正仿宋简体" w:cs="Times New Roman"/>
          <w:sz w:val="32"/>
          <w:szCs w:val="32"/>
        </w:rPr>
        <w:t>完成区人民政府办公室交办的其他任务。</w:t>
      </w:r>
    </w:p>
    <w:p>
      <w:pPr>
        <w:widowControl/>
        <w:spacing w:line="600" w:lineRule="exact"/>
        <w:ind w:firstLine="630" w:firstLineChars="196"/>
        <w:jc w:val="left"/>
        <w:rPr>
          <w:rFonts w:eastAsia="楷体_GB2312"/>
          <w:b/>
          <w:sz w:val="32"/>
          <w:szCs w:val="32"/>
        </w:rPr>
      </w:pPr>
      <w:r>
        <w:rPr>
          <w:rFonts w:eastAsia="楷体_GB2312"/>
          <w:b/>
          <w:sz w:val="32"/>
          <w:szCs w:val="32"/>
        </w:rPr>
        <w:t>（二）机构设置情况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2021年末</w:t>
      </w:r>
      <w:r>
        <w:rPr>
          <w:rFonts w:ascii="Times New Roman" w:hAnsi="Times New Roman" w:eastAsia="仿宋_GB2312" w:cs="Times New Roman"/>
          <w:kern w:val="0"/>
          <w:sz w:val="32"/>
          <w:szCs w:val="32"/>
          <w:lang w:val="en-US" w:eastAsia="zh-CN" w:bidi="ar-SA"/>
        </w:rPr>
        <w:t>，</w:t>
      </w:r>
      <w:r>
        <w:rPr>
          <w:rFonts w:hint="eastAsia" w:ascii="Times New Roman" w:hAnsi="Times New Roman" w:eastAsia="仿宋_GB2312" w:cs="Times New Roman"/>
          <w:kern w:val="0"/>
          <w:sz w:val="32"/>
          <w:szCs w:val="32"/>
          <w:lang w:val="en-US" w:eastAsia="zh-CN" w:bidi="ar-SA"/>
        </w:rPr>
        <w:t>我中心仍为区政府办公室所属副科级公益一类事业单位。</w:t>
      </w:r>
    </w:p>
    <w:p>
      <w:pPr>
        <w:widowControl/>
        <w:spacing w:line="600" w:lineRule="exact"/>
        <w:ind w:firstLine="630" w:firstLineChars="196"/>
        <w:jc w:val="left"/>
        <w:rPr>
          <w:rFonts w:eastAsia="楷体_GB2312"/>
          <w:b/>
          <w:sz w:val="32"/>
          <w:szCs w:val="32"/>
        </w:rPr>
      </w:pPr>
      <w:r>
        <w:rPr>
          <w:rFonts w:eastAsia="楷体_GB2312"/>
          <w:b/>
          <w:sz w:val="32"/>
          <w:szCs w:val="32"/>
        </w:rPr>
        <w:t>（三）人员编制情况</w:t>
      </w:r>
    </w:p>
    <w:p>
      <w:pPr>
        <w:numPr>
          <w:ilvl w:val="0"/>
          <w:numId w:val="0"/>
        </w:numPr>
        <w:ind w:firstLine="640" w:firstLineChars="200"/>
        <w:rPr>
          <w:rFonts w:hint="eastAsia" w:ascii="黑体" w:hAnsi="Times New Roman" w:eastAsia="黑体" w:cs="Times New Roman"/>
          <w:sz w:val="32"/>
          <w:szCs w:val="32"/>
        </w:rPr>
      </w:pPr>
      <w:r>
        <w:rPr>
          <w:rFonts w:eastAsia="仿宋_GB2312"/>
          <w:sz w:val="32"/>
          <w:szCs w:val="32"/>
        </w:rPr>
        <w:t>20</w:t>
      </w:r>
      <w:r>
        <w:rPr>
          <w:rFonts w:hint="eastAsia" w:eastAsia="仿宋_GB2312"/>
          <w:sz w:val="32"/>
          <w:szCs w:val="32"/>
          <w:lang w:val="en-US" w:eastAsia="zh-CN"/>
        </w:rPr>
        <w:t>21</w:t>
      </w:r>
      <w:r>
        <w:rPr>
          <w:rFonts w:eastAsia="仿宋_GB2312"/>
          <w:sz w:val="32"/>
          <w:szCs w:val="32"/>
        </w:rPr>
        <w:t>年末，我单位共有编制</w:t>
      </w:r>
      <w:r>
        <w:rPr>
          <w:rFonts w:hint="eastAsia" w:eastAsia="仿宋_GB2312"/>
          <w:sz w:val="32"/>
          <w:szCs w:val="32"/>
          <w:lang w:val="en-US" w:eastAsia="zh-CN"/>
        </w:rPr>
        <w:t>2</w:t>
      </w:r>
      <w:r>
        <w:rPr>
          <w:rFonts w:eastAsia="仿宋_GB2312"/>
          <w:sz w:val="32"/>
          <w:szCs w:val="32"/>
        </w:rPr>
        <w:t>人，其中行政编制</w:t>
      </w:r>
      <w:r>
        <w:rPr>
          <w:rFonts w:hint="eastAsia" w:eastAsia="仿宋_GB2312"/>
          <w:sz w:val="32"/>
          <w:szCs w:val="32"/>
          <w:lang w:val="en-US" w:eastAsia="zh-CN"/>
        </w:rPr>
        <w:t>0</w:t>
      </w:r>
      <w:r>
        <w:rPr>
          <w:rFonts w:eastAsia="仿宋_GB2312"/>
          <w:sz w:val="32"/>
          <w:szCs w:val="32"/>
        </w:rPr>
        <w:t>人，事业编制</w:t>
      </w:r>
      <w:r>
        <w:rPr>
          <w:rFonts w:hint="eastAsia" w:eastAsia="仿宋_GB2312"/>
          <w:sz w:val="32"/>
          <w:szCs w:val="32"/>
          <w:lang w:val="en-US" w:eastAsia="zh-CN"/>
        </w:rPr>
        <w:t>2</w:t>
      </w:r>
      <w:r>
        <w:rPr>
          <w:rFonts w:eastAsia="仿宋_GB2312"/>
          <w:sz w:val="32"/>
          <w:szCs w:val="32"/>
        </w:rPr>
        <w:t>人。年末实有在职人员</w:t>
      </w:r>
      <w:r>
        <w:rPr>
          <w:rFonts w:hint="eastAsia" w:eastAsia="仿宋_GB2312"/>
          <w:sz w:val="32"/>
          <w:szCs w:val="32"/>
          <w:lang w:val="en-US" w:eastAsia="zh-CN"/>
        </w:rPr>
        <w:t>3</w:t>
      </w:r>
      <w:r>
        <w:rPr>
          <w:rFonts w:eastAsia="仿宋_GB2312"/>
          <w:sz w:val="32"/>
          <w:szCs w:val="32"/>
        </w:rPr>
        <w:t>人，离休人员</w:t>
      </w:r>
      <w:r>
        <w:rPr>
          <w:rFonts w:hint="eastAsia" w:eastAsia="仿宋_GB2312"/>
          <w:sz w:val="32"/>
          <w:szCs w:val="32"/>
          <w:lang w:val="en-US" w:eastAsia="zh-CN"/>
        </w:rPr>
        <w:t>0</w:t>
      </w:r>
      <w:r>
        <w:rPr>
          <w:rFonts w:eastAsia="仿宋_GB2312"/>
          <w:sz w:val="32"/>
          <w:szCs w:val="32"/>
        </w:rPr>
        <w:t>人。</w:t>
      </w:r>
    </w:p>
    <w:p>
      <w:pPr>
        <w:widowControl/>
        <w:numPr>
          <w:ilvl w:val="0"/>
          <w:numId w:val="1"/>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numPr>
          <w:ilvl w:val="0"/>
          <w:numId w:val="0"/>
        </w:numPr>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tabs>
          <w:tab w:val="left" w:pos="2296"/>
        </w:tabs>
        <w:spacing w:line="600" w:lineRule="exact"/>
        <w:ind w:firstLine="640" w:firstLineChars="200"/>
        <w:rPr>
          <w:rFonts w:eastAsia="仿宋_GB2312"/>
          <w:sz w:val="32"/>
          <w:szCs w:val="32"/>
        </w:rPr>
      </w:pPr>
      <w:r>
        <w:rPr>
          <w:rFonts w:eastAsia="仿宋_GB2312"/>
          <w:sz w:val="32"/>
          <w:szCs w:val="32"/>
        </w:rPr>
        <w:t>基本支出系保障我</w:t>
      </w:r>
      <w:r>
        <w:rPr>
          <w:rFonts w:hint="eastAsia" w:eastAsia="仿宋_GB2312"/>
          <w:sz w:val="32"/>
          <w:szCs w:val="32"/>
          <w:lang w:val="en-US" w:eastAsia="zh-CN"/>
        </w:rPr>
        <w:t>中心</w:t>
      </w:r>
      <w:r>
        <w:rPr>
          <w:rFonts w:eastAsia="仿宋_GB2312"/>
          <w:sz w:val="32"/>
          <w:szCs w:val="32"/>
        </w:rPr>
        <w:t>机构正常运转、完成日常工作任务而发生的各项支出，包括用于在职人员基本工资、津贴补贴等人员经费以及办公费、印刷费、水电费、办公设备购置等日常公用经费。20</w:t>
      </w:r>
      <w:r>
        <w:rPr>
          <w:rFonts w:hint="eastAsia" w:eastAsia="仿宋_GB2312"/>
          <w:sz w:val="32"/>
          <w:szCs w:val="32"/>
          <w:lang w:val="en-US" w:eastAsia="zh-CN"/>
        </w:rPr>
        <w:t>21</w:t>
      </w:r>
      <w:r>
        <w:rPr>
          <w:rFonts w:eastAsia="仿宋_GB2312"/>
          <w:sz w:val="32"/>
          <w:szCs w:val="32"/>
        </w:rPr>
        <w:t>年基本支出</w:t>
      </w:r>
      <w:r>
        <w:rPr>
          <w:rFonts w:hint="eastAsia" w:eastAsia="仿宋_GB2312"/>
          <w:sz w:val="32"/>
          <w:szCs w:val="32"/>
          <w:lang w:val="en-US" w:eastAsia="zh-CN"/>
        </w:rPr>
        <w:t>130.85</w:t>
      </w:r>
      <w:r>
        <w:rPr>
          <w:rFonts w:eastAsia="仿宋_GB2312"/>
          <w:sz w:val="32"/>
          <w:szCs w:val="32"/>
        </w:rPr>
        <w:t>万元，较上年</w:t>
      </w:r>
      <w:r>
        <w:rPr>
          <w:rFonts w:hint="eastAsia" w:eastAsia="仿宋_GB2312"/>
          <w:sz w:val="32"/>
          <w:szCs w:val="32"/>
          <w:lang w:val="en-US" w:eastAsia="zh-CN"/>
        </w:rPr>
        <w:t>增加7.29</w:t>
      </w:r>
      <w:r>
        <w:rPr>
          <w:rFonts w:eastAsia="仿宋_GB2312"/>
          <w:sz w:val="32"/>
          <w:szCs w:val="32"/>
        </w:rPr>
        <w:t>万元。</w:t>
      </w:r>
      <w:r>
        <w:rPr>
          <w:rFonts w:eastAsia="仿宋_GB2312"/>
          <w:color w:val="000000"/>
          <w:sz w:val="32"/>
          <w:szCs w:val="32"/>
        </w:rPr>
        <w:t>基本支出中人员经</w:t>
      </w:r>
      <w:r>
        <w:rPr>
          <w:rFonts w:hint="eastAsia" w:eastAsia="仿宋_GB2312"/>
          <w:color w:val="000000"/>
          <w:sz w:val="32"/>
          <w:szCs w:val="32"/>
          <w:lang w:val="en-US" w:eastAsia="zh-CN"/>
        </w:rPr>
        <w:t>费29.76</w:t>
      </w:r>
      <w:r>
        <w:rPr>
          <w:rFonts w:eastAsia="仿宋_GB2312"/>
          <w:color w:val="000000"/>
          <w:sz w:val="32"/>
          <w:szCs w:val="32"/>
        </w:rPr>
        <w:t>万元，占基本支出的</w:t>
      </w:r>
      <w:r>
        <w:rPr>
          <w:rFonts w:hint="eastAsia" w:eastAsia="仿宋_GB2312"/>
          <w:color w:val="000000"/>
          <w:sz w:val="32"/>
          <w:szCs w:val="32"/>
          <w:lang w:val="en-US" w:eastAsia="zh-CN"/>
        </w:rPr>
        <w:t>23</w:t>
      </w:r>
      <w:r>
        <w:rPr>
          <w:rFonts w:eastAsia="仿宋_GB2312"/>
          <w:color w:val="000000"/>
          <w:sz w:val="32"/>
          <w:szCs w:val="32"/>
        </w:rPr>
        <w:t>%，</w:t>
      </w:r>
      <w:r>
        <w:rPr>
          <w:rFonts w:hint="eastAsia" w:eastAsia="仿宋_GB2312"/>
          <w:color w:val="000000"/>
          <w:sz w:val="32"/>
          <w:szCs w:val="32"/>
          <w:lang w:eastAsia="zh-CN"/>
        </w:rPr>
        <w:t>与上年</w:t>
      </w:r>
      <w:r>
        <w:rPr>
          <w:rFonts w:hint="eastAsia" w:eastAsia="仿宋_GB2312"/>
          <w:color w:val="000000"/>
          <w:sz w:val="32"/>
          <w:szCs w:val="32"/>
          <w:lang w:val="en-US" w:eastAsia="zh-CN"/>
        </w:rPr>
        <w:t>增加1.02万元</w:t>
      </w:r>
      <w:r>
        <w:rPr>
          <w:rFonts w:hint="eastAsia" w:eastAsia="仿宋_GB2312"/>
          <w:color w:val="000000"/>
          <w:sz w:val="32"/>
          <w:szCs w:val="32"/>
          <w:lang w:eastAsia="zh-CN"/>
        </w:rPr>
        <w:t>；</w:t>
      </w:r>
      <w:r>
        <w:rPr>
          <w:rFonts w:eastAsia="仿宋_GB2312"/>
          <w:color w:val="000000"/>
          <w:sz w:val="32"/>
          <w:szCs w:val="32"/>
        </w:rPr>
        <w:t>日常公用经</w:t>
      </w:r>
      <w:r>
        <w:rPr>
          <w:rFonts w:hint="eastAsia" w:eastAsia="仿宋_GB2312"/>
          <w:color w:val="000000"/>
          <w:sz w:val="32"/>
          <w:szCs w:val="32"/>
          <w:lang w:val="en-US" w:eastAsia="zh-CN"/>
        </w:rPr>
        <w:t>费101.09</w:t>
      </w:r>
      <w:r>
        <w:rPr>
          <w:rFonts w:eastAsia="仿宋_GB2312"/>
          <w:color w:val="000000"/>
          <w:sz w:val="32"/>
          <w:szCs w:val="32"/>
        </w:rPr>
        <w:t>万元</w:t>
      </w:r>
      <w:r>
        <w:rPr>
          <w:rFonts w:hint="eastAsia" w:eastAsia="仿宋_GB2312"/>
          <w:color w:val="000000"/>
          <w:sz w:val="32"/>
          <w:szCs w:val="32"/>
          <w:lang w:eastAsia="zh-CN"/>
        </w:rPr>
        <w:t>（</w:t>
      </w:r>
      <w:r>
        <w:rPr>
          <w:rFonts w:hint="eastAsia" w:eastAsia="仿宋_GB2312"/>
          <w:color w:val="000000"/>
          <w:sz w:val="32"/>
          <w:szCs w:val="32"/>
          <w:lang w:val="en-US" w:eastAsia="zh-CN"/>
        </w:rPr>
        <w:t>含拨付其他单位禁毒工作经费68万余元</w:t>
      </w:r>
      <w:r>
        <w:rPr>
          <w:rFonts w:hint="eastAsia" w:eastAsia="仿宋_GB2312"/>
          <w:color w:val="000000"/>
          <w:sz w:val="32"/>
          <w:szCs w:val="32"/>
          <w:lang w:eastAsia="zh-CN"/>
        </w:rPr>
        <w:t>）</w:t>
      </w:r>
      <w:r>
        <w:rPr>
          <w:rFonts w:eastAsia="仿宋_GB2312"/>
          <w:color w:val="000000"/>
          <w:sz w:val="32"/>
          <w:szCs w:val="32"/>
        </w:rPr>
        <w:t>，占基本支出的</w:t>
      </w:r>
      <w:r>
        <w:rPr>
          <w:rFonts w:hint="eastAsia" w:eastAsia="仿宋_GB2312"/>
          <w:color w:val="000000"/>
          <w:sz w:val="32"/>
          <w:szCs w:val="32"/>
          <w:lang w:val="en-US" w:eastAsia="zh-CN"/>
        </w:rPr>
        <w:t>77</w:t>
      </w:r>
      <w:r>
        <w:rPr>
          <w:rFonts w:eastAsia="仿宋_GB2312"/>
          <w:color w:val="000000"/>
          <w:sz w:val="32"/>
          <w:szCs w:val="32"/>
        </w:rPr>
        <w:t>%，较上年</w:t>
      </w:r>
      <w:r>
        <w:rPr>
          <w:rFonts w:hint="eastAsia" w:eastAsia="仿宋_GB2312"/>
          <w:color w:val="000000"/>
          <w:sz w:val="32"/>
          <w:szCs w:val="32"/>
          <w:lang w:val="en-US" w:eastAsia="zh-CN"/>
        </w:rPr>
        <w:t>增加6</w:t>
      </w:r>
      <w:r>
        <w:rPr>
          <w:rFonts w:eastAsia="仿宋_GB2312"/>
          <w:color w:val="000000"/>
          <w:sz w:val="32"/>
          <w:szCs w:val="32"/>
        </w:rPr>
        <w:t>%</w:t>
      </w:r>
      <w:r>
        <w:rPr>
          <w:rFonts w:hint="eastAsia" w:eastAsia="仿宋_GB2312"/>
          <w:color w:val="000000"/>
          <w:sz w:val="32"/>
          <w:szCs w:val="32"/>
          <w:lang w:eastAsia="zh-CN"/>
        </w:rPr>
        <w:t>，主要原因是</w:t>
      </w:r>
      <w:r>
        <w:rPr>
          <w:rFonts w:hint="eastAsia" w:eastAsia="仿宋_GB2312"/>
          <w:color w:val="000000"/>
          <w:sz w:val="32"/>
          <w:szCs w:val="32"/>
          <w:lang w:val="en-US" w:eastAsia="zh-CN"/>
        </w:rPr>
        <w:t>上级部门对禁毒工作要求提高，创建全省禁毒示范城市需要，拨付各单位禁毒工作经费增加。</w:t>
      </w:r>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tabs>
          <w:tab w:val="left" w:pos="2296"/>
        </w:tabs>
        <w:spacing w:line="600" w:lineRule="exact"/>
        <w:ind w:firstLine="640" w:firstLineChars="200"/>
        <w:rPr>
          <w:rFonts w:ascii="Times New Roman" w:hAnsi="Times New Roman" w:eastAsia="仿宋_GB2312" w:cs="Times New Roman"/>
          <w:sz w:val="32"/>
          <w:szCs w:val="32"/>
        </w:rPr>
      </w:pPr>
      <w:r>
        <w:rPr>
          <w:rFonts w:hint="eastAsia" w:eastAsia="仿宋_GB2312"/>
          <w:sz w:val="32"/>
          <w:szCs w:val="32"/>
          <w:lang w:val="en-US" w:eastAsia="zh-CN"/>
        </w:rPr>
        <w:t>2021年我单位无项目支出。</w:t>
      </w:r>
    </w:p>
    <w:p>
      <w:pPr>
        <w:widowControl/>
        <w:numPr>
          <w:ilvl w:val="0"/>
          <w:numId w:val="0"/>
        </w:numPr>
        <w:spacing w:line="600" w:lineRule="exact"/>
        <w:ind w:leftChars="0"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widowControl/>
        <w:numPr>
          <w:ilvl w:val="0"/>
          <w:numId w:val="0"/>
        </w:numPr>
        <w:spacing w:line="600" w:lineRule="exact"/>
        <w:ind w:leftChars="0" w:firstLine="640" w:firstLineChars="200"/>
        <w:jc w:val="left"/>
        <w:rPr>
          <w:rFonts w:hint="default" w:ascii="Times New Roman" w:hAnsi="Times New Roman" w:eastAsia="仿宋_GB2312"/>
          <w:sz w:val="32"/>
          <w:szCs w:val="32"/>
          <w:lang w:val="en-US" w:eastAsia="zh-CN"/>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年是</w:t>
      </w:r>
      <w:r>
        <w:rPr>
          <w:rFonts w:hint="eastAsia" w:ascii="Times New Roman" w:hAnsi="Times New Roman" w:eastAsia="仿宋_GB2312"/>
          <w:sz w:val="32"/>
          <w:szCs w:val="32"/>
          <w:lang w:val="en-US" w:eastAsia="zh-CN"/>
        </w:rPr>
        <w:t>我区继续以创建全省禁毒示范城市、打造“无毒南岳”的一年，区委、区政府高度重视禁毒工作，多次召开区委常委会、区政府常务会研究禁毒工作，完善禁毒工作责任制，禁毒工作社会化体系日益完善。高规格的区禁毒委员会高效运转，及时传达国家、省、市有关禁毒工作会议精神，结合本单位实际，开展大量工作，在各单位的大力组织、发动下，人民群众积极参与各项禁毒预防宣传活动，在全区形成了浓厚的识毒、防毒、拒毒的氛围，禁毒工作取得良好成效。</w:t>
      </w:r>
    </w:p>
    <w:p>
      <w:pPr>
        <w:widowControl/>
        <w:numPr>
          <w:ilvl w:val="0"/>
          <w:numId w:val="0"/>
        </w:numPr>
        <w:spacing w:line="600" w:lineRule="exact"/>
        <w:ind w:firstLine="643" w:firstLineChars="200"/>
        <w:jc w:val="left"/>
        <w:rPr>
          <w:rFonts w:hint="eastAsia" w:ascii="仿宋_GB2312" w:hAnsi="仿宋_GB2312" w:eastAsia="仿宋_GB2312" w:cs="仿宋_GB2312"/>
          <w:b w:val="0"/>
          <w:bCs/>
          <w:spacing w:val="-2"/>
          <w:sz w:val="32"/>
          <w:szCs w:val="32"/>
        </w:rPr>
      </w:pPr>
      <w:r>
        <w:rPr>
          <w:rFonts w:hint="eastAsia" w:ascii="Times New Roman" w:hAnsi="Times New Roman" w:eastAsia="楷体_GB2312"/>
          <w:b/>
          <w:sz w:val="32"/>
          <w:szCs w:val="32"/>
          <w:lang w:val="en-US" w:eastAsia="zh-CN"/>
        </w:rPr>
        <w:t>1、禁毒宣传形式多样。</w:t>
      </w:r>
      <w:r>
        <w:rPr>
          <w:rFonts w:hint="eastAsia" w:ascii="仿宋_GB2312" w:hAnsi="仿宋_GB2312" w:eastAsia="仿宋_GB2312" w:cs="仿宋_GB2312"/>
          <w:b w:val="0"/>
          <w:bCs/>
          <w:sz w:val="32"/>
          <w:szCs w:val="32"/>
          <w:lang w:eastAsia="zh-CN"/>
        </w:rPr>
        <w:t>先后组织开展了春季禁毒集中宣传、6月禁毒宣传月活动，积极发动群众参与禁毒预防宣传，了解禁毒常识。各单位认真组织“禁毒+党建”主题宣传活动，加强公职人员禁毒预防宣传教育。同时，还不定期联合各社区开展禁毒知识讲座、“屋场恳谈+禁毒”等活动，并充分利用节假日值班、精准扶贫、小区联创等机会将禁毒知识送到社区居民手中，受到社区居民的一致好评。针对青少年毒品预防</w:t>
      </w:r>
      <w:r>
        <w:rPr>
          <w:rFonts w:hint="eastAsia" w:ascii="仿宋_GB2312" w:hAnsi="仿宋_GB2312" w:eastAsia="仿宋_GB2312" w:cs="仿宋_GB2312"/>
          <w:b w:val="0"/>
          <w:bCs/>
          <w:sz w:val="32"/>
          <w:szCs w:val="32"/>
          <w:lang w:val="en-US" w:eastAsia="zh-CN"/>
        </w:rPr>
        <w:t>宣传</w:t>
      </w:r>
      <w:r>
        <w:rPr>
          <w:rFonts w:hint="eastAsia" w:ascii="仿宋_GB2312" w:hAnsi="仿宋_GB2312" w:eastAsia="仿宋_GB2312" w:cs="仿宋_GB2312"/>
          <w:b w:val="0"/>
          <w:bCs/>
          <w:sz w:val="32"/>
          <w:szCs w:val="32"/>
          <w:lang w:eastAsia="zh-CN"/>
        </w:rPr>
        <w:t>教育，各学校开展了丰富多彩的活动。各单位加大党员干部禁毒教育力度，区交通运输局、文旅广体局、应急管理局等部门加大对“两客一危一校”驾驶员、物流寄递行业从业人员、易制毒化学品相关使用企业等重点行业人群开展禁毒知识培训与业务督查。</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lang w:val="en-US" w:eastAsia="zh-CN"/>
        </w:rPr>
        <w:t>2、人员管控专业到位。</w:t>
      </w:r>
      <w:r>
        <w:rPr>
          <w:rFonts w:hint="eastAsia" w:ascii="Times New Roman" w:hAnsi="Times New Roman" w:eastAsia="仿宋_GB2312"/>
          <w:sz w:val="32"/>
          <w:szCs w:val="32"/>
        </w:rPr>
        <w:t>引进衡阳市甘霖社会工作服务中心专业社工开展社戒社康人员管控工作，社戒社康人员档案，尿检、谈话、走访、心理咨询等工作有序开展，“出所必接”“四必检”等制度得到很好的落实。目前，我区强戒执行率100%，社戒社康“零脱失”，社戒社康人员年内复吸率有效控制在15%以下。开展涉毒人员“见面攻坚行动”，对全区所有在册吸毒人员逐个见面、谈心并进行毛发毒品检测，同时根据检测结果和谈心谈话情况，开展社会面吸毒人员风险分类评估管控，确保全部在册人员管控到位，无肇事肇祸隐患。同时扣涉毒重点场所管控，不定期深入开展集中清查，重点排查了各宾馆酒店、娱乐场所等，做到了责任上肩，任务到人，全年吸毒人员“零肇事肇祸”。</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楷体_GB2312"/>
          <w:b/>
          <w:sz w:val="32"/>
          <w:szCs w:val="32"/>
          <w:lang w:val="en-US" w:eastAsia="zh-CN"/>
        </w:rPr>
        <w:t>3、缉毒打击高效有力。</w:t>
      </w:r>
      <w:r>
        <w:rPr>
          <w:rFonts w:hint="eastAsia" w:ascii="Times New Roman" w:hAnsi="Times New Roman" w:eastAsia="仿宋_GB2312"/>
          <w:sz w:val="32"/>
          <w:szCs w:val="32"/>
          <w:lang w:val="en-US" w:eastAsia="zh-CN"/>
        </w:rPr>
        <w:t>南岳作为AAAAA级旅游景区，人口流动大，外地流窜而来的吸毒人员多，缉毒执法难度大。为净化全区涉毒环境，公安机关对吸毒行为保持高压打击态势，实行查毒无禁区理念，落实逢嫌必检工作制度，深查隐性吸毒人员，严厉打击毒品违法犯罪，共查获涉毒人员17人，其中刑拘3人，行政处罚14人，强制戒毒8人。</w:t>
      </w:r>
      <w:r>
        <w:rPr>
          <w:rFonts w:ascii="Times New Roman" w:hAnsi="Times New Roman" w:eastAsia="仿宋_GB2312"/>
          <w:sz w:val="32"/>
          <w:szCs w:val="32"/>
        </w:rPr>
        <w:t xml:space="preserve"> </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ascii="Times New Roman" w:hAnsi="Times New Roman" w:eastAsia="黑体" w:cs="Times New Roman"/>
          <w:sz w:val="32"/>
          <w:szCs w:val="32"/>
        </w:rPr>
        <w:t>存在的问题及原因分析</w:t>
      </w:r>
    </w:p>
    <w:p>
      <w:pPr>
        <w:spacing w:line="600" w:lineRule="exact"/>
        <w:ind w:firstLine="640" w:firstLineChars="200"/>
        <w:rPr>
          <w:rFonts w:eastAsia="仿宋_GB2312"/>
          <w:sz w:val="32"/>
          <w:szCs w:val="32"/>
        </w:rPr>
      </w:pPr>
      <w:r>
        <w:rPr>
          <w:rFonts w:eastAsia="仿宋_GB2312"/>
          <w:sz w:val="32"/>
          <w:szCs w:val="32"/>
        </w:rPr>
        <w:t>通过前述对我厅整体支出情况的分析，反映出目前整体支出主要在预算执行方面还存在一些问题和不足：</w:t>
      </w:r>
    </w:p>
    <w:p>
      <w:p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（一）</w:t>
      </w:r>
      <w:r>
        <w:rPr>
          <w:rFonts w:hint="eastAsia" w:ascii="Calibri" w:hAnsi="Calibri" w:eastAsia="楷体_GB2312" w:cs="Times New Roman"/>
          <w:b/>
          <w:sz w:val="32"/>
          <w:szCs w:val="32"/>
          <w:lang w:val="en-US" w:eastAsia="zh-CN"/>
        </w:rPr>
        <w:t>禁毒工作群众满意度</w:t>
      </w:r>
      <w:r>
        <w:rPr>
          <w:rFonts w:hint="eastAsia" w:ascii="Calibri" w:hAnsi="Calibri" w:eastAsia="楷体_GB2312" w:cs="Times New Roman"/>
          <w:b/>
          <w:sz w:val="32"/>
          <w:szCs w:val="32"/>
          <w:lang w:eastAsia="zh-CN"/>
        </w:rPr>
        <w:t>有待提升。</w:t>
      </w:r>
    </w:p>
    <w:p>
      <w:pPr>
        <w:spacing w:line="600" w:lineRule="exact"/>
        <w:ind w:firstLine="640" w:firstLineChars="200"/>
        <w:rPr>
          <w:rFonts w:hint="eastAsia" w:eastAsia="仿宋_GB2312"/>
          <w:sz w:val="32"/>
          <w:szCs w:val="32"/>
          <w:lang w:eastAsia="zh-CN"/>
        </w:rPr>
      </w:pPr>
      <w:r>
        <w:rPr>
          <w:rFonts w:hint="eastAsia" w:eastAsia="仿宋_GB2312"/>
          <w:sz w:val="32"/>
          <w:szCs w:val="32"/>
          <w:lang w:val="en-US" w:eastAsia="zh-CN"/>
        </w:rPr>
        <w:t>为创建全省禁毒示范城市，今年开展了大量工作，但整体工作群众满意度调查结果不尽如人意，虽仍然排名全市第一，但在全省排名不够靠前</w:t>
      </w:r>
      <w:r>
        <w:rPr>
          <w:rFonts w:hint="eastAsia" w:eastAsia="仿宋_GB2312"/>
          <w:sz w:val="32"/>
          <w:szCs w:val="32"/>
          <w:lang w:eastAsia="zh-CN"/>
        </w:rPr>
        <w:t>。</w:t>
      </w:r>
      <w:r>
        <w:rPr>
          <w:rFonts w:hint="eastAsia" w:eastAsia="仿宋_GB2312"/>
          <w:sz w:val="32"/>
          <w:szCs w:val="32"/>
          <w:lang w:val="en-US" w:eastAsia="zh-CN"/>
        </w:rPr>
        <w:t xml:space="preserve">    </w:t>
      </w:r>
    </w:p>
    <w:p>
      <w:p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（二）</w:t>
      </w:r>
      <w:r>
        <w:rPr>
          <w:rFonts w:hint="eastAsia" w:ascii="Calibri" w:hAnsi="Calibri" w:eastAsia="楷体_GB2312" w:cs="Times New Roman"/>
          <w:b/>
          <w:sz w:val="32"/>
          <w:szCs w:val="32"/>
          <w:lang w:val="en-US" w:eastAsia="zh-CN"/>
        </w:rPr>
        <w:t>禁毒亮点工作需大力培植</w:t>
      </w:r>
      <w:r>
        <w:rPr>
          <w:rFonts w:hint="eastAsia" w:ascii="Calibri" w:hAnsi="Calibri" w:eastAsia="楷体_GB2312" w:cs="Times New Roman"/>
          <w:b/>
          <w:sz w:val="32"/>
          <w:szCs w:val="32"/>
          <w:lang w:eastAsia="zh-CN"/>
        </w:rPr>
        <w:t>。</w:t>
      </w:r>
    </w:p>
    <w:p>
      <w:pPr>
        <w:numPr>
          <w:ilvl w:val="0"/>
          <w:numId w:val="0"/>
        </w:numPr>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创建全省禁毒示范城市需要大量亮点工作来体现，2020年我区率先开展污水验毒、公职人员毛发毒品检测、联通APP动态管控吸毒人员等，均得到省、市禁毒办认可并在全省范围内推广，2021年整体亮点工作偏少，主要是新的技术手段较少，南岳区是AAAAA级风景名胜区，禁毒宣传需充分考虑游客因素。</w:t>
      </w:r>
    </w:p>
    <w:p>
      <w:pPr>
        <w:widowControl/>
        <w:numPr>
          <w:ilvl w:val="0"/>
          <w:numId w:val="2"/>
        </w:num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spacing w:line="600" w:lineRule="exact"/>
        <w:ind w:firstLine="640" w:firstLineChars="200"/>
        <w:rPr>
          <w:rFonts w:eastAsia="仿宋_GB2312"/>
          <w:sz w:val="32"/>
          <w:szCs w:val="32"/>
        </w:rPr>
      </w:pPr>
      <w:r>
        <w:rPr>
          <w:rFonts w:eastAsia="仿宋_GB2312"/>
          <w:sz w:val="32"/>
          <w:szCs w:val="32"/>
        </w:rPr>
        <w:t>针对上述存在的问题，拟采取以下改进措施：</w:t>
      </w:r>
    </w:p>
    <w:p>
      <w:pPr>
        <w:pStyle w:val="6"/>
        <w:ind w:firstLine="643"/>
        <w:rPr>
          <w:rFonts w:ascii="方正楷体简体" w:hAnsi="方正楷体简体" w:eastAsia="方正楷体简体" w:cs="方正楷体简体"/>
          <w:b/>
          <w:bCs/>
          <w:kern w:val="2"/>
          <w:sz w:val="32"/>
          <w:szCs w:val="32"/>
        </w:rPr>
      </w:pPr>
      <w:r>
        <w:rPr>
          <w:rFonts w:hint="eastAsia" w:eastAsia="方正仿宋简体"/>
          <w:sz w:val="32"/>
          <w:szCs w:val="32"/>
        </w:rPr>
        <w:t>将禁毒攻坚战当做第四大攻坚战安排部署，不断完善禁毒工作绩效考评办法，继续加大禁毒工作投入，配齐、配强禁毒专职力量，确保三大保障支撑稳健有力。紧抓重点时段和人群一刻不放松，扎实开展“六进”宣传活动，营造浓厚禁毒氛围，形成禁毒人民战争人人参</w:t>
      </w:r>
      <w:bookmarkStart w:id="0" w:name="_GoBack"/>
      <w:bookmarkEnd w:id="0"/>
      <w:r>
        <w:rPr>
          <w:rFonts w:hint="eastAsia" w:eastAsia="方正仿宋简体"/>
          <w:sz w:val="32"/>
          <w:szCs w:val="32"/>
        </w:rPr>
        <w:t>与、禁毒工作人人满意的良好局面。</w:t>
      </w:r>
    </w:p>
    <w:p>
      <w:pPr>
        <w:spacing w:line="540" w:lineRule="exact"/>
        <w:ind w:firstLine="643" w:firstLineChars="200"/>
        <w:rPr>
          <w:rFonts w:ascii="方正楷体简体" w:hAnsi="方正楷体简体" w:eastAsia="方正楷体简体" w:cs="方正楷体简体"/>
          <w:b/>
          <w:bCs/>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9CCF1"/>
    <w:multiLevelType w:val="singleLevel"/>
    <w:tmpl w:val="F639CCF1"/>
    <w:lvl w:ilvl="0" w:tentative="0">
      <w:start w:val="2"/>
      <w:numFmt w:val="chineseCounting"/>
      <w:suff w:val="nothing"/>
      <w:lvlText w:val="%1、"/>
      <w:lvlJc w:val="left"/>
      <w:rPr>
        <w:rFonts w:hint="eastAsia"/>
      </w:rPr>
    </w:lvl>
  </w:abstractNum>
  <w:abstractNum w:abstractNumId="1">
    <w:nsid w:val="692A871F"/>
    <w:multiLevelType w:val="singleLevel"/>
    <w:tmpl w:val="692A871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F1302"/>
    <w:rsid w:val="0B581722"/>
    <w:rsid w:val="3CEF2B4B"/>
    <w:rsid w:val="6BF636E2"/>
    <w:rsid w:val="71293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ody Text Indent"/>
    <w:basedOn w:val="1"/>
    <w:qFormat/>
    <w:uiPriority w:val="0"/>
    <w:pPr>
      <w:ind w:firstLine="720" w:firstLineChars="257"/>
    </w:pPr>
    <w:rPr>
      <w:rFonts w:ascii="Calibri" w:hAnsi="Calibri" w:cs="Times New Roman"/>
      <w:kern w:val="0"/>
      <w:sz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2022-02-07T03:28:00Z</dcterms:created>
  <dc:creator>Administrator</dc:creator>
  <cp:lastModifiedBy>花丶想</cp:lastModifiedBy>
  <dcterms:modified xsi:type="dcterms:W3CDTF">2022-02-14T01:50:06Z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984E17B803D748F88DDB448140333196</vt:lpwstr>
  </property>
</Properties>
</file>