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147" w:tblpY="110"/>
        <w:tblOverlap w:val="never"/>
        <w:tblW w:w="9705" w:type="dxa"/>
        <w:tblInd w:w="0" w:type="dxa"/>
        <w:shd w:val="clear" w:color="auto" w:fill="auto"/>
        <w:tblLayout w:type="fixed"/>
        <w:tblCellMar>
          <w:top w:w="0" w:type="dxa"/>
          <w:left w:w="0" w:type="dxa"/>
          <w:bottom w:w="0" w:type="dxa"/>
          <w:right w:w="0" w:type="dxa"/>
        </w:tblCellMar>
      </w:tblPr>
      <w:tblGrid>
        <w:gridCol w:w="592"/>
        <w:gridCol w:w="1119"/>
        <w:gridCol w:w="1425"/>
        <w:gridCol w:w="2290"/>
        <w:gridCol w:w="1655"/>
        <w:gridCol w:w="1215"/>
        <w:gridCol w:w="1409"/>
      </w:tblGrid>
      <w:tr>
        <w:tblPrEx>
          <w:shd w:val="clear" w:color="auto" w:fill="auto"/>
          <w:tblCellMar>
            <w:top w:w="0" w:type="dxa"/>
            <w:left w:w="0" w:type="dxa"/>
            <w:bottom w:w="0" w:type="dxa"/>
            <w:right w:w="0" w:type="dxa"/>
          </w:tblCellMar>
        </w:tblPrEx>
        <w:trPr>
          <w:trHeight w:val="900" w:hRule="atLeast"/>
        </w:trPr>
        <w:tc>
          <w:tcPr>
            <w:tcW w:w="970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val="0"/>
                <w:bCs/>
                <w:i w:val="0"/>
                <w:color w:val="000000"/>
                <w:kern w:val="0"/>
                <w:sz w:val="36"/>
                <w:szCs w:val="36"/>
                <w:u w:val="none"/>
                <w:lang w:val="en-US" w:eastAsia="zh-CN" w:bidi="ar"/>
              </w:rPr>
              <w:t>南岳区机关事务和接待中心绩效自评表</w:t>
            </w:r>
          </w:p>
        </w:tc>
      </w:tr>
      <w:tr>
        <w:tblPrEx>
          <w:shd w:val="clear" w:color="auto" w:fill="auto"/>
          <w:tblCellMar>
            <w:top w:w="0" w:type="dxa"/>
            <w:left w:w="0" w:type="dxa"/>
            <w:bottom w:w="0" w:type="dxa"/>
            <w:right w:w="0" w:type="dxa"/>
          </w:tblCellMar>
        </w:tblPrEx>
        <w:trPr>
          <w:trHeight w:val="620" w:hRule="atLeast"/>
        </w:trPr>
        <w:tc>
          <w:tcPr>
            <w:tcW w:w="1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3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衡阳智库基地运转经费</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项目负责人及电话</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eastAsia="zh-CN"/>
              </w:rPr>
              <w:t>唐蓝</w:t>
            </w:r>
            <w:r>
              <w:rPr>
                <w:rFonts w:hint="eastAsia" w:ascii="宋体" w:hAnsi="宋体" w:eastAsia="宋体" w:cs="宋体"/>
                <w:i w:val="0"/>
                <w:color w:val="000000"/>
                <w:sz w:val="21"/>
                <w:szCs w:val="21"/>
                <w:u w:val="none"/>
                <w:lang w:val="en-US" w:eastAsia="zh-CN"/>
              </w:rPr>
              <w:t>13789377773</w:t>
            </w:r>
          </w:p>
        </w:tc>
      </w:tr>
      <w:tr>
        <w:tblPrEx>
          <w:shd w:val="clear" w:color="auto" w:fill="auto"/>
          <w:tblCellMar>
            <w:top w:w="0" w:type="dxa"/>
            <w:left w:w="0" w:type="dxa"/>
            <w:bottom w:w="0" w:type="dxa"/>
            <w:right w:w="0" w:type="dxa"/>
          </w:tblCellMar>
        </w:tblPrEx>
        <w:trPr>
          <w:trHeight w:val="620" w:hRule="atLeast"/>
        </w:trPr>
        <w:tc>
          <w:tcPr>
            <w:tcW w:w="1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c>
          <w:tcPr>
            <w:tcW w:w="3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区人民政府</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实施单位</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kern w:val="0"/>
                <w:sz w:val="21"/>
                <w:szCs w:val="21"/>
                <w:lang w:eastAsia="zh-CN"/>
              </w:rPr>
              <w:t>南岳区机关事务和接待中心</w:t>
            </w:r>
          </w:p>
        </w:tc>
      </w:tr>
      <w:tr>
        <w:tblPrEx>
          <w:shd w:val="clear" w:color="auto" w:fill="auto"/>
          <w:tblCellMar>
            <w:top w:w="0" w:type="dxa"/>
            <w:left w:w="0" w:type="dxa"/>
            <w:bottom w:w="0" w:type="dxa"/>
            <w:right w:w="0" w:type="dxa"/>
          </w:tblCellMar>
        </w:tblPrEx>
        <w:trPr>
          <w:trHeight w:val="620" w:hRule="atLeast"/>
        </w:trPr>
        <w:tc>
          <w:tcPr>
            <w:tcW w:w="17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资金情况（万元）</w:t>
            </w:r>
          </w:p>
        </w:tc>
        <w:tc>
          <w:tcPr>
            <w:tcW w:w="3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年初预算资金总额：</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实际投入资金额</w:t>
            </w:r>
          </w:p>
        </w:tc>
        <w:tc>
          <w:tcPr>
            <w:tcW w:w="26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产生差异的原因</w:t>
            </w:r>
          </w:p>
        </w:tc>
      </w:tr>
      <w:tr>
        <w:tblPrEx>
          <w:shd w:val="clear" w:color="auto" w:fill="auto"/>
          <w:tblCellMar>
            <w:top w:w="0" w:type="dxa"/>
            <w:left w:w="0" w:type="dxa"/>
            <w:bottom w:w="0" w:type="dxa"/>
            <w:right w:w="0" w:type="dxa"/>
          </w:tblCellMar>
        </w:tblPrEx>
        <w:trPr>
          <w:trHeight w:val="620" w:hRule="atLeast"/>
        </w:trPr>
        <w:tc>
          <w:tcPr>
            <w:tcW w:w="17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20</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15.86</w:t>
            </w:r>
          </w:p>
        </w:tc>
        <w:tc>
          <w:tcPr>
            <w:tcW w:w="2624" w:type="dxa"/>
            <w:gridSpan w:val="2"/>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受疫情影响，财政资金吃紧，部分款项未支付到位。</w:t>
            </w:r>
          </w:p>
        </w:tc>
      </w:tr>
      <w:tr>
        <w:tblPrEx>
          <w:shd w:val="clear" w:color="auto" w:fill="auto"/>
          <w:tblCellMar>
            <w:top w:w="0" w:type="dxa"/>
            <w:left w:w="0" w:type="dxa"/>
            <w:bottom w:w="0" w:type="dxa"/>
            <w:right w:w="0" w:type="dxa"/>
          </w:tblCellMar>
        </w:tblPrEx>
        <w:trPr>
          <w:trHeight w:val="620" w:hRule="atLeast"/>
        </w:trPr>
        <w:tc>
          <w:tcPr>
            <w:tcW w:w="17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其中：财政拨款</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20</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15.86</w:t>
            </w:r>
          </w:p>
        </w:tc>
        <w:tc>
          <w:tcPr>
            <w:tcW w:w="2624"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20" w:hRule="atLeast"/>
        </w:trPr>
        <w:tc>
          <w:tcPr>
            <w:tcW w:w="17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其他资金</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0</w:t>
            </w:r>
          </w:p>
        </w:tc>
        <w:tc>
          <w:tcPr>
            <w:tcW w:w="2624"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620" w:hRule="atLeast"/>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总体目标</w:t>
            </w:r>
          </w:p>
        </w:tc>
        <w:tc>
          <w:tcPr>
            <w:tcW w:w="48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年度目标</w:t>
            </w:r>
          </w:p>
        </w:tc>
        <w:tc>
          <w:tcPr>
            <w:tcW w:w="427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年度总体目标完成情况</w:t>
            </w:r>
          </w:p>
        </w:tc>
      </w:tr>
      <w:tr>
        <w:tblPrEx>
          <w:shd w:val="clear" w:color="auto" w:fill="auto"/>
          <w:tblCellMar>
            <w:top w:w="0" w:type="dxa"/>
            <w:left w:w="0" w:type="dxa"/>
            <w:bottom w:w="0" w:type="dxa"/>
            <w:right w:w="0" w:type="dxa"/>
          </w:tblCellMar>
        </w:tblPrEx>
        <w:trPr>
          <w:trHeight w:val="62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48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1.保障智库基地的日常运行秩序，及时维修（护）房屋、水电；2.有效保障刘和平老师工作室及衡阳市经济社会创新发展智库服务中心的创作环境；3.提升南岳地区形象。</w:t>
            </w:r>
          </w:p>
        </w:tc>
        <w:tc>
          <w:tcPr>
            <w:tcW w:w="427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已完成</w:t>
            </w:r>
          </w:p>
        </w:tc>
      </w:tr>
      <w:tr>
        <w:tblPrEx>
          <w:shd w:val="clear" w:color="auto" w:fill="auto"/>
          <w:tblCellMar>
            <w:top w:w="0" w:type="dxa"/>
            <w:left w:w="0" w:type="dxa"/>
            <w:bottom w:w="0" w:type="dxa"/>
            <w:right w:w="0" w:type="dxa"/>
          </w:tblCellMar>
        </w:tblPrEx>
        <w:trPr>
          <w:trHeight w:val="620" w:hRule="atLeast"/>
        </w:trPr>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绩效指标</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指标值</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全年实际完成值</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产生差异的原因及改进措施</w:t>
            </w:r>
          </w:p>
        </w:tc>
      </w:tr>
      <w:tr>
        <w:tblPrEx>
          <w:shd w:val="clear" w:color="auto" w:fill="auto"/>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劳务派遣人员到岗数</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=1人</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=1人</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维修（护）零星工程完成率</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=100%</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办公用品购置完成率</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劳务派遣人员资质达标率</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维修（护）零星工程验收合格率</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=100%</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办公用品购置达标率</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=100%</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劳务派遣人员到岗及时率</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=100%</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维修（护）零星工程竣工及时率</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sz w:val="16"/>
                <w:szCs w:val="16"/>
                <w:u w:val="none"/>
                <w:lang w:val="en-US" w:eastAsia="zh-CN"/>
              </w:rPr>
              <w:t>=100%</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2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办公用品购置及时率</w:t>
            </w:r>
          </w:p>
        </w:tc>
        <w:tc>
          <w:tcPr>
            <w:tcW w:w="16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=100%</w:t>
            </w:r>
          </w:p>
        </w:tc>
        <w:tc>
          <w:tcPr>
            <w:tcW w:w="12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=100%</w:t>
            </w:r>
          </w:p>
        </w:tc>
        <w:tc>
          <w:tcPr>
            <w:tcW w:w="140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p>
        </w:tc>
      </w:tr>
      <w:tr>
        <w:tblPrEx>
          <w:tblCellMar>
            <w:top w:w="0" w:type="dxa"/>
            <w:left w:w="0" w:type="dxa"/>
            <w:bottom w:w="0" w:type="dxa"/>
            <w:right w:w="0" w:type="dxa"/>
          </w:tblCellMar>
        </w:tblPrEx>
        <w:trPr>
          <w:trHeight w:val="660" w:hRule="atLeast"/>
        </w:trPr>
        <w:tc>
          <w:tcPr>
            <w:tcW w:w="592"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成本指标</w:t>
            </w:r>
          </w:p>
        </w:tc>
        <w:tc>
          <w:tcPr>
            <w:tcW w:w="22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房屋维修（护）、劳务费及其他</w:t>
            </w:r>
          </w:p>
        </w:tc>
        <w:tc>
          <w:tcPr>
            <w:tcW w:w="16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≤20万元</w:t>
            </w:r>
          </w:p>
        </w:tc>
        <w:tc>
          <w:tcPr>
            <w:tcW w:w="12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=15.86万元</w:t>
            </w:r>
          </w:p>
        </w:tc>
        <w:tc>
          <w:tcPr>
            <w:tcW w:w="140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bookmarkStart w:id="0" w:name="_GoBack"/>
            <w:r>
              <w:rPr>
                <w:rFonts w:hint="eastAsia" w:ascii="宋体" w:hAnsi="宋体" w:eastAsia="宋体" w:cs="宋体"/>
                <w:i w:val="0"/>
                <w:color w:val="000000"/>
                <w:kern w:val="0"/>
                <w:sz w:val="16"/>
                <w:szCs w:val="16"/>
                <w:u w:val="none"/>
                <w:lang w:val="en-US" w:eastAsia="zh-CN" w:bidi="ar"/>
              </w:rPr>
              <w:t>受</w:t>
            </w:r>
            <w:r>
              <w:rPr>
                <w:rFonts w:hint="eastAsia" w:ascii="宋体" w:hAnsi="宋体" w:eastAsia="宋体" w:cs="宋体"/>
                <w:i w:val="0"/>
                <w:color w:val="000000"/>
                <w:kern w:val="0"/>
                <w:sz w:val="16"/>
                <w:szCs w:val="16"/>
                <w:u w:val="none"/>
                <w:lang w:val="en-US" w:eastAsia="zh-CN" w:bidi="ar"/>
              </w:rPr>
              <w:t>疫</w:t>
            </w:r>
            <w:bookmarkEnd w:id="0"/>
            <w:r>
              <w:rPr>
                <w:rFonts w:hint="eastAsia" w:ascii="宋体" w:hAnsi="宋体" w:eastAsia="宋体" w:cs="宋体"/>
                <w:i w:val="0"/>
                <w:color w:val="000000"/>
                <w:kern w:val="0"/>
                <w:sz w:val="16"/>
                <w:szCs w:val="16"/>
                <w:u w:val="none"/>
                <w:lang w:val="en-US" w:eastAsia="zh-CN" w:bidi="ar"/>
              </w:rPr>
              <w:t>情影响，财政资金吃紧，部分款项未支付到位</w:t>
            </w:r>
            <w:r>
              <w:rPr>
                <w:rFonts w:hint="eastAsia" w:ascii="宋体" w:hAnsi="宋体" w:eastAsia="宋体" w:cs="宋体"/>
                <w:i w:val="0"/>
                <w:color w:val="000000"/>
                <w:sz w:val="21"/>
                <w:szCs w:val="21"/>
                <w:u w:val="none"/>
                <w:lang w:eastAsia="zh-CN"/>
              </w:rPr>
              <w:t>。</w:t>
            </w:r>
          </w:p>
        </w:tc>
      </w:tr>
      <w:tr>
        <w:tblPrEx>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打开南岳旅游发展新市场</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有助于</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有助于</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使更多人认识了解南岳</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有助于</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有助于</w:t>
            </w:r>
          </w:p>
        </w:tc>
        <w:tc>
          <w:tcPr>
            <w:tcW w:w="1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60" w:hRule="atLeast"/>
        </w:trPr>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相关人员满意度</w:t>
            </w:r>
          </w:p>
        </w:tc>
        <w:tc>
          <w:tcPr>
            <w:tcW w:w="1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default" w:ascii="宋体" w:hAnsi="宋体" w:eastAsia="宋体" w:cs="宋体"/>
          <w:sz w:val="30"/>
          <w:szCs w:val="30"/>
          <w:lang w:val="en-US" w:eastAsia="zh-CN"/>
        </w:rPr>
      </w:pPr>
    </w:p>
    <w:p>
      <w:pPr>
        <w:widowControl/>
        <w:jc w:val="left"/>
        <w:rPr>
          <w:rFonts w:hint="eastAsia" w:ascii="黑体" w:eastAsia="黑体" w:cs="黑体"/>
          <w:color w:val="000000"/>
          <w:kern w:val="0"/>
          <w:sz w:val="70"/>
          <w:szCs w:val="70"/>
          <w:lang w:val="en-US" w:eastAsia="zh-CN"/>
        </w:rPr>
      </w:pPr>
    </w:p>
    <w:p>
      <w:pPr>
        <w:widowControl/>
        <w:numPr>
          <w:ilvl w:val="0"/>
          <w:numId w:val="0"/>
        </w:numPr>
        <w:spacing w:line="600" w:lineRule="exact"/>
        <w:ind w:firstLine="600" w:firstLineChars="200"/>
        <w:jc w:val="left"/>
        <w:rPr>
          <w:rFonts w:hint="default" w:ascii="宋体" w:hAnsi="宋体" w:eastAsia="宋体" w:cs="宋体"/>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zZhMTM5YjAxNzRmN2Q5MDkwZTljZWFiMWZjMTAifQ=="/>
  </w:docVars>
  <w:rsids>
    <w:rsidRoot w:val="58E06247"/>
    <w:rsid w:val="00881676"/>
    <w:rsid w:val="03B756ED"/>
    <w:rsid w:val="085E02F0"/>
    <w:rsid w:val="09641AD2"/>
    <w:rsid w:val="0FA018AB"/>
    <w:rsid w:val="103C1D0B"/>
    <w:rsid w:val="13311DA7"/>
    <w:rsid w:val="149B2A0B"/>
    <w:rsid w:val="16800D2F"/>
    <w:rsid w:val="16E64B58"/>
    <w:rsid w:val="20E67351"/>
    <w:rsid w:val="26A13FC0"/>
    <w:rsid w:val="28606852"/>
    <w:rsid w:val="29121970"/>
    <w:rsid w:val="294D5646"/>
    <w:rsid w:val="29EF7861"/>
    <w:rsid w:val="2ADA6473"/>
    <w:rsid w:val="30017E69"/>
    <w:rsid w:val="30BE2A8F"/>
    <w:rsid w:val="378D6BBE"/>
    <w:rsid w:val="3AA64FE5"/>
    <w:rsid w:val="415E7770"/>
    <w:rsid w:val="41FB49A8"/>
    <w:rsid w:val="429F3322"/>
    <w:rsid w:val="42E1543A"/>
    <w:rsid w:val="43102595"/>
    <w:rsid w:val="455E2BF9"/>
    <w:rsid w:val="462D5306"/>
    <w:rsid w:val="4A1504A0"/>
    <w:rsid w:val="4C054A64"/>
    <w:rsid w:val="4C5E2615"/>
    <w:rsid w:val="50942148"/>
    <w:rsid w:val="509F1554"/>
    <w:rsid w:val="52C14B04"/>
    <w:rsid w:val="52C56E5A"/>
    <w:rsid w:val="55A02E49"/>
    <w:rsid w:val="58E06247"/>
    <w:rsid w:val="5C1E53DC"/>
    <w:rsid w:val="5DA220D3"/>
    <w:rsid w:val="61884F42"/>
    <w:rsid w:val="618D6324"/>
    <w:rsid w:val="63805EC8"/>
    <w:rsid w:val="649615FB"/>
    <w:rsid w:val="64A2122F"/>
    <w:rsid w:val="6713109A"/>
    <w:rsid w:val="67316073"/>
    <w:rsid w:val="67B42849"/>
    <w:rsid w:val="69CE5072"/>
    <w:rsid w:val="6CF90109"/>
    <w:rsid w:val="6E3C0596"/>
    <w:rsid w:val="6EA95B85"/>
    <w:rsid w:val="71BD756A"/>
    <w:rsid w:val="751B6785"/>
    <w:rsid w:val="788F45B8"/>
    <w:rsid w:val="7C862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样式3"/>
    <w:basedOn w:val="1"/>
    <w:qFormat/>
    <w:uiPriority w:val="0"/>
    <w:rPr>
      <w:rFonts w:ascii="Times New Roman" w:hAnsi="Times New Roman" w:eastAsia="仿宋_GB2312" w:cs="Times New Roman"/>
      <w:spacing w:val="113"/>
      <w:sz w:val="32"/>
    </w:rPr>
  </w:style>
  <w:style w:type="paragraph" w:customStyle="1" w:styleId="8">
    <w:name w:val="样式4"/>
    <w:basedOn w:val="1"/>
    <w:qFormat/>
    <w:uiPriority w:val="0"/>
    <w:rPr>
      <w:rFonts w:ascii="Times New Roman" w:hAnsi="Times New Roman" w:eastAsia="仿宋_GB2312" w:cs="Times New Roman"/>
      <w:snapToGrid w:val="0"/>
      <w:spacing w:val="79"/>
      <w:sz w:val="32"/>
    </w:rPr>
  </w:style>
  <w:style w:type="paragraph" w:customStyle="1" w:styleId="9">
    <w:name w:val="样式6"/>
    <w:basedOn w:val="1"/>
    <w:qFormat/>
    <w:uiPriority w:val="0"/>
    <w:rPr>
      <w:rFonts w:ascii="Times New Roman" w:hAnsi="Times New Roman" w:eastAsia="仿宋_GB2312" w:cs="Times New Roman"/>
      <w:spacing w:val="57"/>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501</Words>
  <Characters>600</Characters>
  <Lines>0</Lines>
  <Paragraphs>0</Paragraphs>
  <TotalTime>1</TotalTime>
  <ScaleCrop>false</ScaleCrop>
  <LinksUpToDate>false</LinksUpToDate>
  <CharactersWithSpaces>601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佳玲</cp:lastModifiedBy>
  <cp:lastPrinted>2023-02-23T01:15:09Z</cp:lastPrinted>
  <dcterms:modified xsi:type="dcterms:W3CDTF">2023-02-23T01:16:20Z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7254F7D864D74692804E3C0C6F8C2106</vt:lpwstr>
  </property>
</Properties>
</file>