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_GBK"/>
          <w:sz w:val="36"/>
          <w:szCs w:val="36"/>
        </w:rPr>
      </w:pPr>
      <w:r>
        <w:rPr>
          <w:rFonts w:hint="eastAsia" w:ascii="方正小标宋简体" w:hAnsi="方正小标宋简体" w:eastAsia="方正小标宋简体" w:cs="方正小标宋简体"/>
          <w:sz w:val="36"/>
          <w:szCs w:val="36"/>
          <w:lang w:val="en-US" w:eastAsia="zh-CN"/>
        </w:rPr>
        <w:t>南岳区医疗医疗保障局</w:t>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22</w:t>
      </w:r>
      <w:r>
        <w:rPr>
          <w:rFonts w:hint="eastAsia" w:ascii="方正小标宋简体" w:hAnsi="方正小标宋简体" w:eastAsia="方正小标宋简体" w:cs="方正小标宋简体"/>
          <w:sz w:val="36"/>
          <w:szCs w:val="36"/>
        </w:rPr>
        <w:t>年度部门整体支出绩效评价报告</w:t>
      </w:r>
    </w:p>
    <w:p>
      <w:pPr>
        <w:spacing w:line="600" w:lineRule="exact"/>
        <w:ind w:firstLine="645"/>
        <w:rPr>
          <w:rFonts w:eastAsia="仿宋_GB2312"/>
          <w:sz w:val="32"/>
          <w:szCs w:val="32"/>
        </w:rPr>
      </w:pPr>
      <w:r>
        <w:rPr>
          <w:rFonts w:eastAsia="仿宋_GB2312"/>
          <w:sz w:val="32"/>
          <w:szCs w:val="32"/>
        </w:rPr>
        <w:t>根据《中共中央 国务院关于全面实施预算绩效管理的意见》的文件精神，</w:t>
      </w:r>
      <w:r>
        <w:rPr>
          <w:rFonts w:hint="eastAsia" w:eastAsia="仿宋_GB2312"/>
          <w:sz w:val="32"/>
          <w:szCs w:val="32"/>
          <w:lang w:val="en-US" w:eastAsia="zh-CN"/>
        </w:rPr>
        <w:t>我局</w:t>
      </w:r>
      <w:r>
        <w:rPr>
          <w:rFonts w:eastAsia="仿宋_GB2312"/>
          <w:sz w:val="32"/>
          <w:szCs w:val="32"/>
        </w:rPr>
        <w:t>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spacing w:line="600" w:lineRule="exact"/>
        <w:ind w:firstLine="645"/>
        <w:rPr>
          <w:rFonts w:hint="eastAsia" w:eastAsia="仿宋_GB2312"/>
          <w:sz w:val="28"/>
          <w:szCs w:val="28"/>
        </w:rPr>
      </w:pPr>
      <w:r>
        <w:rPr>
          <w:rFonts w:eastAsia="仿宋_GB2312"/>
          <w:sz w:val="28"/>
          <w:szCs w:val="28"/>
        </w:rPr>
        <w:t>1.职能职责</w:t>
      </w:r>
    </w:p>
    <w:p>
      <w:pPr>
        <w:spacing w:line="600" w:lineRule="exact"/>
        <w:ind w:firstLine="645"/>
        <w:rPr>
          <w:rFonts w:hint="eastAsia" w:eastAsia="仿宋_GB2312"/>
          <w:sz w:val="28"/>
          <w:szCs w:val="28"/>
        </w:rPr>
      </w:pPr>
      <w:r>
        <w:rPr>
          <w:rFonts w:hint="eastAsia" w:eastAsia="仿宋_GB2312"/>
          <w:sz w:val="28"/>
          <w:szCs w:val="28"/>
        </w:rPr>
        <w:t>（一）贯彻执行国家、省、市有关医疗保险、生育保险、医疗救助（以下统称医疗保障）的法律法规和政策规定，拟订全区医疗保障相关政策、规划、标准、办法并组织实施。</w:t>
      </w:r>
    </w:p>
    <w:p>
      <w:pPr>
        <w:spacing w:line="600" w:lineRule="exact"/>
        <w:ind w:firstLine="645"/>
        <w:rPr>
          <w:rFonts w:hint="eastAsia" w:eastAsia="仿宋_GB2312"/>
          <w:sz w:val="28"/>
          <w:szCs w:val="28"/>
        </w:rPr>
      </w:pPr>
      <w:r>
        <w:rPr>
          <w:rFonts w:hint="eastAsia" w:eastAsia="仿宋_GB2312"/>
          <w:sz w:val="28"/>
          <w:szCs w:val="28"/>
        </w:rPr>
        <w:t>（二）组织拟订并实施全区医疗保障基金监督管理办法，监督管理相关医疗保障基金。建立健全医疗保障基金安全防控机制，推进医疗保障基金支付方式改革。</w:t>
      </w:r>
    </w:p>
    <w:p>
      <w:pPr>
        <w:spacing w:line="600" w:lineRule="exact"/>
        <w:ind w:firstLine="645"/>
        <w:rPr>
          <w:rFonts w:hint="eastAsia" w:eastAsia="仿宋_GB2312"/>
          <w:sz w:val="28"/>
          <w:szCs w:val="28"/>
        </w:rPr>
      </w:pPr>
      <w:r>
        <w:rPr>
          <w:rFonts w:hint="eastAsia" w:eastAsia="仿宋_GB2312"/>
          <w:sz w:val="28"/>
          <w:szCs w:val="28"/>
        </w:rPr>
        <w:t>（三）组织拟订全区医疗保障筹资和待遇政策，完善动态调整和区域调剂平衡机制，统筹城乡医疗保障待遇标准，建立健全与筹资水平相适应的待遇调整机制。组织拟订并实施长期护理保险制度改革方案。</w:t>
      </w:r>
    </w:p>
    <w:p>
      <w:pPr>
        <w:spacing w:line="600" w:lineRule="exact"/>
        <w:ind w:firstLine="645"/>
        <w:rPr>
          <w:rFonts w:hint="eastAsia" w:eastAsia="仿宋_GB2312"/>
          <w:sz w:val="28"/>
          <w:szCs w:val="28"/>
        </w:rPr>
      </w:pPr>
      <w:r>
        <w:rPr>
          <w:rFonts w:hint="eastAsia" w:eastAsia="仿宋_GB2312"/>
          <w:sz w:val="28"/>
          <w:szCs w:val="28"/>
        </w:rPr>
        <w:t>（四）执行上级医疗保障部门制定的城乡统一的药品、医用耗材价格和医疗服务项目、医疗服务设施医保目录和支付标准，做好目录准入和支付标准，配合上级医疗保障部门建立动态调整机制。</w:t>
      </w:r>
    </w:p>
    <w:p>
      <w:pPr>
        <w:spacing w:line="600" w:lineRule="exact"/>
        <w:ind w:firstLine="645"/>
        <w:rPr>
          <w:rFonts w:hint="eastAsia" w:eastAsia="仿宋_GB2312"/>
          <w:sz w:val="28"/>
          <w:szCs w:val="28"/>
        </w:rPr>
      </w:pPr>
      <w:r>
        <w:rPr>
          <w:rFonts w:hint="eastAsia" w:eastAsia="仿宋_GB2312"/>
          <w:sz w:val="28"/>
          <w:szCs w:val="28"/>
        </w:rPr>
        <w:t>（五）组织拟订由区级管理的药品、医用耗材价格和医疗服务项目、医疗服务设施收费政策；建立医保支付医药服务价格合理确定和动态调整机制，承担政府定价药品、医用耗材和医疗机构医疗服务、医疗服务设施的价格谈判、确定及管理工作，并参与药品和医用耗材的集中采购和医疗机构价格类别等级评定工作；推动建立市场主导的社会医药服务价格形成机制，建立价格信息监测和信息发布制度。</w:t>
      </w:r>
    </w:p>
    <w:p>
      <w:pPr>
        <w:spacing w:line="600" w:lineRule="exact"/>
        <w:ind w:firstLine="645"/>
        <w:rPr>
          <w:rFonts w:hint="eastAsia" w:eastAsia="仿宋_GB2312"/>
          <w:sz w:val="28"/>
          <w:szCs w:val="28"/>
        </w:rPr>
      </w:pPr>
      <w:r>
        <w:rPr>
          <w:rFonts w:hint="eastAsia" w:eastAsia="仿宋_GB2312"/>
          <w:sz w:val="28"/>
          <w:szCs w:val="28"/>
        </w:rPr>
        <w:t>（六）拟订全区药品、医用耗材的招标采购办法并监督实施，指导药品、医用耗材、医疗服务项目和医疗服务设施招标采购平台建设。</w:t>
      </w:r>
    </w:p>
    <w:p>
      <w:pPr>
        <w:spacing w:line="600" w:lineRule="exact"/>
        <w:ind w:firstLine="645"/>
        <w:rPr>
          <w:rFonts w:hint="eastAsia" w:eastAsia="仿宋_GB2312"/>
          <w:sz w:val="28"/>
          <w:szCs w:val="28"/>
        </w:rPr>
      </w:pPr>
      <w:r>
        <w:rPr>
          <w:rFonts w:hint="eastAsia" w:eastAsia="仿宋_GB2312"/>
          <w:sz w:val="28"/>
          <w:szCs w:val="28"/>
        </w:rPr>
        <w:t>（七）拟订全区定点医药机构协议和支付管理办法并组织实施，建立健全医疗保障信用评价体系和信息披露制度，建立健全定点医药服务考核评价机制和动态的准入退出机制，监督、管理纳入医保范围内的医疗服务行为和医疗费用，依法查处医疗保障领域违法违规行为。</w:t>
      </w:r>
    </w:p>
    <w:p>
      <w:pPr>
        <w:spacing w:line="600" w:lineRule="exact"/>
        <w:ind w:firstLine="645"/>
        <w:rPr>
          <w:rFonts w:hint="eastAsia" w:eastAsia="仿宋_GB2312"/>
          <w:sz w:val="28"/>
          <w:szCs w:val="28"/>
        </w:rPr>
      </w:pPr>
      <w:r>
        <w:rPr>
          <w:rFonts w:hint="eastAsia" w:eastAsia="仿宋_GB2312"/>
          <w:sz w:val="28"/>
          <w:szCs w:val="28"/>
        </w:rPr>
        <w:t>（八）负责区本级医疗保障经办管理、公共服务体系和信息化建设。指导和监督经办机构开展医疗保险、生育保险、医疗救助等业务工作；组织拟订和完善异地就医管理和费用结算办法，建立健全医疗保障关系转移接续制度，参与和开展医疗保障领域区内外合作交流。</w:t>
      </w:r>
    </w:p>
    <w:p>
      <w:pPr>
        <w:spacing w:line="600" w:lineRule="exact"/>
        <w:ind w:firstLine="645"/>
        <w:rPr>
          <w:rFonts w:hint="eastAsia" w:eastAsia="仿宋_GB2312"/>
          <w:sz w:val="28"/>
          <w:szCs w:val="28"/>
        </w:rPr>
      </w:pPr>
      <w:r>
        <w:rPr>
          <w:rFonts w:hint="eastAsia" w:eastAsia="仿宋_GB2312"/>
          <w:sz w:val="28"/>
          <w:szCs w:val="28"/>
        </w:rPr>
        <w:t>（九）完善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spacing w:line="600" w:lineRule="exact"/>
        <w:ind w:firstLine="645"/>
        <w:rPr>
          <w:rFonts w:hint="eastAsia" w:eastAsia="仿宋_GB2312"/>
          <w:sz w:val="28"/>
          <w:szCs w:val="28"/>
        </w:rPr>
      </w:pPr>
      <w:r>
        <w:rPr>
          <w:rFonts w:hint="eastAsia" w:eastAsia="仿宋_GB2312"/>
          <w:sz w:val="28"/>
          <w:szCs w:val="28"/>
        </w:rPr>
        <w:t>（十）加强与区卫生健康局等部门在医疗、医保、医药等方面的制度政策衔接，建立沟通协商机制，协同推进改革，提高医疗资源使用效率和医疗保障水平。</w:t>
      </w:r>
    </w:p>
    <w:p>
      <w:pPr>
        <w:spacing w:line="600" w:lineRule="exact"/>
        <w:ind w:firstLine="645"/>
        <w:rPr>
          <w:rFonts w:hint="eastAsia" w:eastAsia="仿宋_GB2312"/>
          <w:sz w:val="28"/>
          <w:szCs w:val="28"/>
        </w:rPr>
      </w:pPr>
      <w:r>
        <w:rPr>
          <w:rFonts w:hint="eastAsia" w:eastAsia="仿宋_GB2312"/>
          <w:sz w:val="28"/>
          <w:szCs w:val="28"/>
        </w:rPr>
        <w:t>（十一）负责本行业、领域的应急管理工作，对本行业、领域的安全生产工作实施监督管理。</w:t>
      </w:r>
    </w:p>
    <w:p>
      <w:pPr>
        <w:spacing w:line="600" w:lineRule="exact"/>
        <w:ind w:firstLine="645"/>
        <w:rPr>
          <w:rFonts w:hint="eastAsia" w:eastAsia="仿宋_GB2312"/>
          <w:sz w:val="28"/>
          <w:szCs w:val="28"/>
        </w:rPr>
      </w:pPr>
      <w:r>
        <w:rPr>
          <w:rFonts w:hint="eastAsia" w:eastAsia="仿宋_GB2312"/>
          <w:sz w:val="28"/>
          <w:szCs w:val="28"/>
        </w:rPr>
        <w:t>（十二）完成区委、区政府交办的其他任务。</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spacing w:line="600" w:lineRule="exact"/>
        <w:ind w:firstLine="645"/>
        <w:rPr>
          <w:rFonts w:hint="eastAsia" w:eastAsia="仿宋_GB2312"/>
          <w:sz w:val="28"/>
          <w:szCs w:val="28"/>
        </w:rPr>
      </w:pPr>
      <w:r>
        <w:rPr>
          <w:rFonts w:hint="eastAsia" w:eastAsia="仿宋_GB2312"/>
          <w:sz w:val="28"/>
          <w:szCs w:val="28"/>
        </w:rPr>
        <w:t>（一）内设机构设置。南岳区医疗保障局是全额拨款的行政单位，南岳区医疗保障局设局长1名，副局长</w:t>
      </w:r>
      <w:r>
        <w:rPr>
          <w:rFonts w:hint="default" w:eastAsia="仿宋_GB2312"/>
          <w:sz w:val="28"/>
          <w:szCs w:val="28"/>
        </w:rPr>
        <w:t>1</w:t>
      </w:r>
      <w:r>
        <w:rPr>
          <w:rFonts w:hint="eastAsia" w:eastAsia="仿宋_GB2312"/>
          <w:sz w:val="28"/>
          <w:szCs w:val="28"/>
        </w:rPr>
        <w:t>名；正股级领导职数</w:t>
      </w:r>
      <w:r>
        <w:rPr>
          <w:rFonts w:hint="default" w:eastAsia="仿宋_GB2312"/>
          <w:sz w:val="28"/>
          <w:szCs w:val="28"/>
        </w:rPr>
        <w:t>4</w:t>
      </w:r>
      <w:r>
        <w:rPr>
          <w:rFonts w:hint="eastAsia" w:eastAsia="仿宋_GB2312"/>
          <w:sz w:val="28"/>
          <w:szCs w:val="28"/>
        </w:rPr>
        <w:t>名。内设股室</w:t>
      </w:r>
      <w:r>
        <w:rPr>
          <w:rFonts w:hint="default" w:eastAsia="仿宋_GB2312"/>
          <w:sz w:val="28"/>
          <w:szCs w:val="28"/>
        </w:rPr>
        <w:t>4</w:t>
      </w:r>
      <w:r>
        <w:rPr>
          <w:rFonts w:hint="eastAsia" w:eastAsia="仿宋_GB2312"/>
          <w:sz w:val="28"/>
          <w:szCs w:val="28"/>
        </w:rPr>
        <w:t>个，分别是办公室（组织人事股）、规划财务和法规股（基金监管股）、待遇保障股、医疗价格服务管理股。</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spacing w:line="600" w:lineRule="exact"/>
        <w:ind w:firstLine="645"/>
        <w:rPr>
          <w:rFonts w:hint="eastAsia" w:eastAsia="仿宋_GB2312"/>
          <w:sz w:val="28"/>
          <w:szCs w:val="28"/>
        </w:rPr>
      </w:pPr>
      <w:r>
        <w:rPr>
          <w:rFonts w:hint="eastAsia" w:eastAsia="仿宋_GB2312"/>
          <w:sz w:val="28"/>
          <w:szCs w:val="28"/>
          <w:lang w:val="en-US" w:eastAsia="zh-CN"/>
        </w:rPr>
        <w:t>2022</w:t>
      </w:r>
      <w:r>
        <w:rPr>
          <w:rFonts w:hint="eastAsia" w:eastAsia="仿宋_GB2312"/>
          <w:sz w:val="28"/>
          <w:szCs w:val="28"/>
        </w:rPr>
        <w:t>年末，我单位共有编制</w:t>
      </w:r>
      <w:r>
        <w:rPr>
          <w:rFonts w:hint="eastAsia" w:eastAsia="仿宋_GB2312"/>
          <w:sz w:val="28"/>
          <w:szCs w:val="28"/>
          <w:lang w:val="en-US" w:eastAsia="zh-CN"/>
        </w:rPr>
        <w:t>15个</w:t>
      </w:r>
      <w:r>
        <w:rPr>
          <w:rFonts w:hint="eastAsia" w:eastAsia="仿宋_GB2312"/>
          <w:sz w:val="28"/>
          <w:szCs w:val="28"/>
        </w:rPr>
        <w:t>，其中行政编制</w:t>
      </w:r>
      <w:r>
        <w:rPr>
          <w:rFonts w:hint="eastAsia" w:eastAsia="仿宋_GB2312"/>
          <w:sz w:val="28"/>
          <w:szCs w:val="28"/>
          <w:lang w:val="en-US" w:eastAsia="zh-CN"/>
        </w:rPr>
        <w:t>2个</w:t>
      </w:r>
      <w:r>
        <w:rPr>
          <w:rFonts w:hint="eastAsia" w:eastAsia="仿宋_GB2312"/>
          <w:sz w:val="28"/>
          <w:szCs w:val="28"/>
        </w:rPr>
        <w:t>，</w:t>
      </w:r>
      <w:r>
        <w:rPr>
          <w:rFonts w:hint="eastAsia" w:eastAsia="仿宋_GB2312"/>
          <w:sz w:val="28"/>
          <w:szCs w:val="28"/>
          <w:lang w:val="en-US" w:eastAsia="zh-CN"/>
        </w:rPr>
        <w:t>参公编制13个。</w:t>
      </w:r>
      <w:r>
        <w:rPr>
          <w:rFonts w:hint="eastAsia" w:eastAsia="仿宋_GB2312"/>
          <w:sz w:val="28"/>
          <w:szCs w:val="28"/>
        </w:rPr>
        <w:t>年末实有在职人员</w:t>
      </w:r>
      <w:r>
        <w:rPr>
          <w:rFonts w:hint="eastAsia" w:eastAsia="仿宋_GB2312"/>
          <w:sz w:val="28"/>
          <w:szCs w:val="28"/>
          <w:lang w:val="en-US" w:eastAsia="zh-CN"/>
        </w:rPr>
        <w:t>21</w:t>
      </w:r>
      <w:r>
        <w:rPr>
          <w:rFonts w:hint="eastAsia" w:eastAsia="仿宋_GB2312"/>
          <w:sz w:val="28"/>
          <w:szCs w:val="28"/>
        </w:rPr>
        <w:t>人</w:t>
      </w:r>
      <w:r>
        <w:rPr>
          <w:rFonts w:hint="eastAsia" w:eastAsia="仿宋_GB2312"/>
          <w:sz w:val="28"/>
          <w:szCs w:val="28"/>
          <w:lang w:eastAsia="zh-CN"/>
        </w:rPr>
        <w:t>，</w:t>
      </w:r>
      <w:r>
        <w:rPr>
          <w:rFonts w:hint="eastAsia" w:eastAsia="仿宋_GB2312"/>
          <w:sz w:val="28"/>
          <w:szCs w:val="28"/>
          <w:lang w:val="en-US" w:eastAsia="zh-CN"/>
        </w:rPr>
        <w:t>其中正式编制人员为 12人，临聘人员为6人，借调1人，派驻2人。退</w:t>
      </w:r>
      <w:r>
        <w:rPr>
          <w:rFonts w:hint="eastAsia" w:eastAsia="仿宋_GB2312"/>
          <w:sz w:val="28"/>
          <w:szCs w:val="28"/>
        </w:rPr>
        <w:t>休人员</w:t>
      </w:r>
      <w:r>
        <w:rPr>
          <w:rFonts w:hint="eastAsia" w:eastAsia="仿宋_GB2312"/>
          <w:sz w:val="28"/>
          <w:szCs w:val="28"/>
          <w:lang w:val="en-US" w:eastAsia="zh-CN"/>
        </w:rPr>
        <w:t>1</w:t>
      </w:r>
      <w:r>
        <w:rPr>
          <w:rFonts w:hint="eastAsia" w:eastAsia="仿宋_GB2312"/>
          <w:sz w:val="28"/>
          <w:szCs w:val="28"/>
        </w:rPr>
        <w:t>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（一）基本支出情况</w:t>
      </w:r>
    </w:p>
    <w:p>
      <w:pPr>
        <w:spacing w:line="600" w:lineRule="exact"/>
        <w:ind w:firstLine="645"/>
        <w:rPr>
          <w:rFonts w:hint="eastAsia" w:eastAsia="仿宋_GB2312"/>
          <w:sz w:val="28"/>
          <w:szCs w:val="28"/>
          <w:lang w:val="en-US" w:eastAsia="zh-CN"/>
        </w:rPr>
      </w:pPr>
      <w:r>
        <w:rPr>
          <w:rFonts w:hint="eastAsia" w:eastAsia="仿宋_GB2312"/>
          <w:sz w:val="28"/>
          <w:szCs w:val="28"/>
          <w:lang w:val="en-US" w:eastAsia="zh-CN"/>
        </w:rPr>
        <w:t>2022年，我单位基本支出 1501.73万元，主要用于保障人员的工资和福利支出、正常办公所需的商品和服务支出及对个人和家庭的补助支出。按支出经济分类：其中工资福利支出224.95万元；占基本支出的14.98%； 商品和服务支出133.91万元：占基本支出的8.91%：对个人家庭补助支出1142.87万元，占</w:t>
      </w:r>
      <w:bookmarkStart w:id="0" w:name="_GoBack"/>
      <w:bookmarkEnd w:id="0"/>
      <w:r>
        <w:rPr>
          <w:rFonts w:hint="eastAsia" w:eastAsia="仿宋_GB2312"/>
          <w:sz w:val="28"/>
          <w:szCs w:val="28"/>
          <w:lang w:val="en-US" w:eastAsia="zh-CN"/>
        </w:rPr>
        <w:t>基本支出的76.11%；资本性支出0万元，占基本支出的0%</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（二）项目支出情况</w:t>
      </w:r>
    </w:p>
    <w:p>
      <w:pPr>
        <w:spacing w:line="600" w:lineRule="exact"/>
        <w:ind w:firstLine="645"/>
        <w:rPr>
          <w:rFonts w:hint="eastAsia" w:eastAsia="仿宋_GB2312"/>
          <w:sz w:val="28"/>
          <w:szCs w:val="28"/>
          <w:lang w:val="en-US" w:eastAsia="zh-CN"/>
        </w:rPr>
      </w:pPr>
      <w:r>
        <w:rPr>
          <w:rFonts w:hint="eastAsia" w:eastAsia="仿宋_GB2312"/>
          <w:sz w:val="28"/>
          <w:szCs w:val="28"/>
          <w:lang w:val="en-US" w:eastAsia="zh-CN"/>
        </w:rPr>
        <w:t>2022年，我单位项目支出 0万元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（三）项目资金结转和结余情况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eastAsia="仿宋_GB2312"/>
          <w:sz w:val="28"/>
          <w:szCs w:val="28"/>
          <w:lang w:val="en-US" w:eastAsia="zh-CN"/>
        </w:rPr>
        <w:t>2022年项目资金结转和结余0万元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三、部门整体支出绩效情况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我单位建立健全了完整有效的资产管理制度，资产管理实行账物分离，确定专人负责。财务部门负责管账，相关股室负责管物。固定资产的购置须书面报告单位领导，经单位领导审批后，办理政府采购手续，办公室凭政府采购批复实行询价或定点采购，股室领用时需在固定资产管理卡片上签字建档。资产管理负责人建立实物资产的购、存、领台账。2022年我单位资产管理和使用状况良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1、绩效目标设立不够明确、细化和量化。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2、资金使用效益有待进一步提高。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五、措施和建议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1、加强单位预算编制工作，根据人员情况、业务开展需要，逐项做出预算计划，预算合理、不留缺口、不留空项。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2、加强业务培训，提高评价水平。部门整体绩效评价工作是一项长期性的工作，专业性强，工作量大，建议财政部门进一步加强开展部门领导及经办人员相关的政策、业务工作培训，组织开展部门之间、单位之间的经验交流，切实推进绩效评价工作的开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3、预算财务分析常态化，定期做好预算支出财务分析，做好部门整体支出预算评价工作。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eastAsia="仿宋_GB2312"/>
          <w:sz w:val="28"/>
          <w:szCs w:val="28"/>
          <w:lang w:val="en-US" w:eastAsia="zh-CN"/>
        </w:rPr>
      </w:pPr>
      <w:r>
        <w:rPr>
          <w:rFonts w:hint="eastAsia" w:eastAsia="仿宋_GB2312"/>
          <w:sz w:val="28"/>
          <w:szCs w:val="28"/>
          <w:lang w:val="en-US" w:eastAsia="zh-CN"/>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2MDQ5YmNjNjI2ZjI1YzJjZmZmY2M1YmVkNzkyYWMifQ=="/>
  </w:docVars>
  <w:rsids>
    <w:rsidRoot w:val="58E06247"/>
    <w:rsid w:val="00881676"/>
    <w:rsid w:val="021533E7"/>
    <w:rsid w:val="103C1D0B"/>
    <w:rsid w:val="149B2A0B"/>
    <w:rsid w:val="20E67351"/>
    <w:rsid w:val="272047B2"/>
    <w:rsid w:val="28606852"/>
    <w:rsid w:val="29121970"/>
    <w:rsid w:val="29EF7861"/>
    <w:rsid w:val="2ADA6473"/>
    <w:rsid w:val="2B4E622C"/>
    <w:rsid w:val="30BE2A8F"/>
    <w:rsid w:val="37F41DF4"/>
    <w:rsid w:val="3ACC4283"/>
    <w:rsid w:val="429F3322"/>
    <w:rsid w:val="43102595"/>
    <w:rsid w:val="463232BE"/>
    <w:rsid w:val="4A1504A0"/>
    <w:rsid w:val="519A62D6"/>
    <w:rsid w:val="522B1438"/>
    <w:rsid w:val="523A5B1F"/>
    <w:rsid w:val="525430E5"/>
    <w:rsid w:val="52C14B04"/>
    <w:rsid w:val="55A02E49"/>
    <w:rsid w:val="585807F9"/>
    <w:rsid w:val="58E06247"/>
    <w:rsid w:val="5B85605C"/>
    <w:rsid w:val="5DA220D3"/>
    <w:rsid w:val="5EFC6BC4"/>
    <w:rsid w:val="64A2122F"/>
    <w:rsid w:val="6713109A"/>
    <w:rsid w:val="67B42849"/>
    <w:rsid w:val="6DC75EB6"/>
    <w:rsid w:val="6E65223A"/>
    <w:rsid w:val="71BD756A"/>
    <w:rsid w:val="743E2DF5"/>
    <w:rsid w:val="751B6785"/>
    <w:rsid w:val="7575763A"/>
    <w:rsid w:val="7EB22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样式3"/>
    <w:basedOn w:val="1"/>
    <w:qFormat/>
    <w:uiPriority w:val="0"/>
    <w:rPr>
      <w:rFonts w:ascii="Times New Roman" w:hAnsi="Times New Roman" w:eastAsia="仿宋_GB2312" w:cs="Times New Roman"/>
      <w:spacing w:val="113"/>
      <w:sz w:val="32"/>
    </w:rPr>
  </w:style>
  <w:style w:type="paragraph" w:customStyle="1" w:styleId="8">
    <w:name w:val="样式4"/>
    <w:basedOn w:val="1"/>
    <w:qFormat/>
    <w:uiPriority w:val="0"/>
    <w:rPr>
      <w:rFonts w:ascii="Times New Roman" w:hAnsi="Times New Roman" w:eastAsia="仿宋_GB2312" w:cs="Times New Roman"/>
      <w:snapToGrid w:val="0"/>
      <w:spacing w:val="79"/>
      <w:sz w:val="32"/>
    </w:rPr>
  </w:style>
  <w:style w:type="paragraph" w:customStyle="1" w:styleId="9">
    <w:name w:val="样式6"/>
    <w:basedOn w:val="1"/>
    <w:qFormat/>
    <w:uiPriority w:val="0"/>
    <w:rPr>
      <w:rFonts w:ascii="Times New Roman" w:hAnsi="Times New Roman" w:eastAsia="仿宋_GB2312" w:cs="Times New Roman"/>
      <w:spacing w:val="57"/>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2006</Words>
  <Characters>2064</Characters>
  <Lines>0</Lines>
  <Paragraphs>0</Paragraphs>
  <TotalTime>6</TotalTime>
  <ScaleCrop>false</ScaleCrop>
  <LinksUpToDate>false</LinksUpToDate>
  <CharactersWithSpaces>2068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虎妞儿～</cp:lastModifiedBy>
  <cp:lastPrinted>2022-12-08T01:17:00Z</cp:lastPrinted>
  <dcterms:modified xsi:type="dcterms:W3CDTF">2023-02-13T02:54:18Z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DBD6B3A0D77A4DC2BB098958F498A31C</vt:lpwstr>
  </property>
</Properties>
</file>