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2" w:rsidRDefault="008C2EE2" w:rsidP="008C2EE2">
      <w:pPr>
        <w:widowControl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66222" w:rsidRPr="00966222" w:rsidRDefault="00966222" w:rsidP="00966222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66222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南岳区林业局</w:t>
      </w:r>
    </w:p>
    <w:p w:rsidR="00E4748B" w:rsidRDefault="00C50870" w:rsidP="00275844">
      <w:pPr>
        <w:widowControl/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B02D1F"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年度部门整体支出绩效评价报告</w:t>
      </w:r>
    </w:p>
    <w:p w:rsidR="001A26EA" w:rsidRPr="00B02D1F" w:rsidRDefault="001A26EA" w:rsidP="00275844">
      <w:pPr>
        <w:widowControl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02D1F" w:rsidRPr="003A44C4" w:rsidRDefault="003A44C4" w:rsidP="003A44C4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 w:rsidR="00966222">
        <w:rPr>
          <w:rFonts w:eastAsia="仿宋_GB2312" w:hint="eastAsia"/>
          <w:sz w:val="32"/>
          <w:szCs w:val="32"/>
        </w:rPr>
        <w:t>局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 w:rsidR="00E4748B" w:rsidRDefault="00C5087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一、部门（单位）基本情况</w:t>
      </w:r>
    </w:p>
    <w:p w:rsidR="00E4748B" w:rsidRDefault="00C50870">
      <w:pPr>
        <w:widowControl/>
        <w:spacing w:line="600" w:lineRule="exact"/>
        <w:ind w:firstLineChars="196" w:firstLine="630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）负责全区林业及其生态保护修复的监督管理。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）负责全区林业生态保护修复和造林绿化工作。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）负责森林、湿地资源的监督管理。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）负责监督管理石漠化防治工作。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）负责自然遗产、风景名胜区和地质公园保护发展监督管理。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）负责陆生野生动植物资源的监督管理。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）负责监督管理各类自然保护地。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）负责推进林业改革相关工作。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）负责组织、指导全区林业产业发展工作。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）指导全区森林公安工作。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）负责森林防火工作。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）负责林业资金和国有资产监督管理。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）负责林业科技、教育和外事工作，指导全区林业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人才队伍的建设。</w:t>
      </w:r>
    </w:p>
    <w:p w:rsidR="00966222" w:rsidRDefault="00966222" w:rsidP="009662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）负责本行业、领域的应急管理工作，对本行业、领域的安全生产工作实施监督管理。</w:t>
      </w:r>
    </w:p>
    <w:p w:rsidR="00966222" w:rsidRDefault="00966222" w:rsidP="00966222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）完成区委、区政府交办的其他任务。</w:t>
      </w:r>
    </w:p>
    <w:p w:rsidR="00E4748B" w:rsidRDefault="00C50870" w:rsidP="00966222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 w:rsidR="00966222" w:rsidRDefault="001746FD" w:rsidP="0096622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年末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966222">
        <w:rPr>
          <w:rFonts w:eastAsia="仿宋_GB2312"/>
          <w:sz w:val="32"/>
          <w:szCs w:val="32"/>
        </w:rPr>
        <w:t>我局内设股室四个，分别是：</w:t>
      </w:r>
      <w:r w:rsidR="00966222">
        <w:rPr>
          <w:rFonts w:eastAsia="仿宋_GB2312"/>
          <w:sz w:val="32"/>
          <w:szCs w:val="32"/>
        </w:rPr>
        <w:t>1.</w:t>
      </w:r>
      <w:r w:rsidR="00966222">
        <w:rPr>
          <w:rFonts w:eastAsia="仿宋_GB2312"/>
          <w:sz w:val="32"/>
          <w:szCs w:val="32"/>
        </w:rPr>
        <w:t>办公室（规划财务股）、</w:t>
      </w:r>
      <w:r w:rsidR="00966222">
        <w:rPr>
          <w:rFonts w:eastAsia="仿宋_GB2312"/>
          <w:sz w:val="32"/>
          <w:szCs w:val="32"/>
        </w:rPr>
        <w:t>2.</w:t>
      </w:r>
      <w:r w:rsidR="00966222">
        <w:rPr>
          <w:rFonts w:eastAsia="仿宋_GB2312"/>
          <w:sz w:val="32"/>
          <w:szCs w:val="32"/>
        </w:rPr>
        <w:t>造林绿化股（区退耕还林办公室、区绿化委员会办公室）、</w:t>
      </w:r>
      <w:r w:rsidR="00966222">
        <w:rPr>
          <w:rFonts w:eastAsia="仿宋_GB2312"/>
          <w:sz w:val="32"/>
          <w:szCs w:val="32"/>
        </w:rPr>
        <w:t>3.</w:t>
      </w:r>
      <w:r w:rsidR="00966222">
        <w:rPr>
          <w:rFonts w:eastAsia="仿宋_GB2312"/>
          <w:sz w:val="32"/>
          <w:szCs w:val="32"/>
        </w:rPr>
        <w:t>资源管理股（法规股、行政审批服务股、生态公益林办）、</w:t>
      </w:r>
      <w:r w:rsidR="00966222">
        <w:rPr>
          <w:rFonts w:eastAsia="仿宋_GB2312"/>
          <w:sz w:val="32"/>
          <w:szCs w:val="32"/>
        </w:rPr>
        <w:t>4.</w:t>
      </w:r>
      <w:r w:rsidR="00966222">
        <w:rPr>
          <w:rFonts w:eastAsia="仿宋_GB2312"/>
          <w:sz w:val="32"/>
          <w:szCs w:val="32"/>
        </w:rPr>
        <w:t>野生动植物保护股（林业有害生物防治检疫股、自然保护地管理股）。</w:t>
      </w:r>
    </w:p>
    <w:p w:rsidR="00E4748B" w:rsidRDefault="00C50870" w:rsidP="00966222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 w:rsidR="001746FD" w:rsidRPr="001746FD" w:rsidRDefault="00C50870" w:rsidP="001746FD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1746FD"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年末，我单位共有</w:t>
      </w:r>
      <w:r w:rsidR="00966222">
        <w:rPr>
          <w:rFonts w:eastAsia="仿宋_GB2312" w:hint="eastAsia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编制人，其中行政编制</w:t>
      </w:r>
      <w:r w:rsidR="00966222">
        <w:rPr>
          <w:rFonts w:eastAsia="仿宋_GB2312" w:hint="eastAsia"/>
          <w:sz w:val="32"/>
          <w:szCs w:val="32"/>
        </w:rPr>
        <w:t>2</w:t>
      </w:r>
      <w:r w:rsidR="006772D8"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，</w:t>
      </w:r>
      <w:r w:rsidR="00D5731C">
        <w:rPr>
          <w:rFonts w:eastAsia="仿宋_GB2312" w:hint="eastAsia"/>
          <w:sz w:val="32"/>
          <w:szCs w:val="32"/>
        </w:rPr>
        <w:t>参照公务员法管理事业</w:t>
      </w:r>
      <w:r>
        <w:rPr>
          <w:rFonts w:eastAsia="仿宋_GB2312"/>
          <w:sz w:val="32"/>
          <w:szCs w:val="32"/>
        </w:rPr>
        <w:t>编制</w:t>
      </w:r>
      <w:r w:rsidR="00966222"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人。年末实有在职人员</w:t>
      </w:r>
      <w:r w:rsidR="00966222"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人，离休人员</w:t>
      </w:r>
      <w:r w:rsidR="00966222"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人。</w:t>
      </w:r>
    </w:p>
    <w:p w:rsidR="00E4748B" w:rsidRDefault="00C50870">
      <w:pPr>
        <w:widowControl/>
        <w:numPr>
          <w:ilvl w:val="0"/>
          <w:numId w:val="2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一般公共预算支出情况</w:t>
      </w:r>
    </w:p>
    <w:p w:rsidR="00E4748B" w:rsidRDefault="00C50870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（一）基本支出情况</w:t>
      </w:r>
    </w:p>
    <w:p w:rsidR="00F437A6" w:rsidRPr="00F32DE3" w:rsidRDefault="00D5731C" w:rsidP="00F32DE3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 w:rsidR="00966222">
        <w:rPr>
          <w:rFonts w:eastAsia="仿宋_GB2312" w:hint="eastAsia"/>
          <w:sz w:val="32"/>
          <w:szCs w:val="32"/>
        </w:rPr>
        <w:t>局</w:t>
      </w:r>
      <w:r w:rsidR="00C50870"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 w:rsidR="00C50870">
        <w:rPr>
          <w:rFonts w:eastAsia="仿宋_GB2312"/>
          <w:sz w:val="32"/>
          <w:szCs w:val="32"/>
        </w:rPr>
        <w:t>20</w:t>
      </w:r>
      <w:r w:rsidR="00A83B82">
        <w:rPr>
          <w:rFonts w:eastAsia="仿宋_GB2312" w:hint="eastAsia"/>
          <w:sz w:val="32"/>
          <w:szCs w:val="32"/>
        </w:rPr>
        <w:t>22</w:t>
      </w:r>
      <w:r w:rsidR="00C50870">
        <w:rPr>
          <w:rFonts w:eastAsia="仿宋_GB2312"/>
          <w:sz w:val="32"/>
          <w:szCs w:val="32"/>
        </w:rPr>
        <w:t>年基本支出</w:t>
      </w:r>
      <w:r w:rsidR="007167BA">
        <w:rPr>
          <w:rFonts w:eastAsia="仿宋_GB2312" w:hint="eastAsia"/>
          <w:sz w:val="32"/>
          <w:szCs w:val="32"/>
        </w:rPr>
        <w:t>233.29</w:t>
      </w:r>
      <w:r w:rsidR="00C50870">
        <w:rPr>
          <w:rFonts w:eastAsia="仿宋_GB2312"/>
          <w:sz w:val="32"/>
          <w:szCs w:val="32"/>
        </w:rPr>
        <w:t>万元，较上年</w:t>
      </w:r>
      <w:r w:rsidR="007167BA">
        <w:rPr>
          <w:rFonts w:eastAsia="仿宋_GB2312" w:hint="eastAsia"/>
          <w:sz w:val="32"/>
          <w:szCs w:val="32"/>
        </w:rPr>
        <w:t>210.13</w:t>
      </w:r>
      <w:r w:rsidR="00A83B82">
        <w:rPr>
          <w:rFonts w:eastAsia="仿宋_GB2312" w:hint="eastAsia"/>
          <w:sz w:val="32"/>
          <w:szCs w:val="32"/>
        </w:rPr>
        <w:t>万元</w:t>
      </w:r>
      <w:r w:rsidR="00AE6310">
        <w:rPr>
          <w:rFonts w:eastAsia="仿宋_GB2312" w:hint="eastAsia"/>
          <w:sz w:val="32"/>
          <w:szCs w:val="32"/>
        </w:rPr>
        <w:t>增加</w:t>
      </w:r>
      <w:r w:rsidR="007167BA">
        <w:rPr>
          <w:rFonts w:eastAsia="仿宋_GB2312" w:hint="eastAsia"/>
          <w:sz w:val="32"/>
          <w:szCs w:val="32"/>
        </w:rPr>
        <w:t>23.16</w:t>
      </w:r>
      <w:r w:rsidR="00C50870">
        <w:rPr>
          <w:rFonts w:eastAsia="仿宋_GB2312"/>
          <w:sz w:val="32"/>
          <w:szCs w:val="32"/>
        </w:rPr>
        <w:t>万元。</w:t>
      </w:r>
      <w:r w:rsidR="00C50870">
        <w:rPr>
          <w:rFonts w:eastAsia="仿宋_GB2312"/>
          <w:color w:val="000000"/>
          <w:sz w:val="32"/>
          <w:szCs w:val="32"/>
        </w:rPr>
        <w:t>基本支出中人员经费</w:t>
      </w:r>
      <w:r w:rsidR="007167BA">
        <w:rPr>
          <w:rFonts w:eastAsia="仿宋_GB2312" w:hint="eastAsia"/>
          <w:color w:val="000000"/>
          <w:sz w:val="32"/>
          <w:szCs w:val="32"/>
        </w:rPr>
        <w:t>195.50</w:t>
      </w:r>
      <w:r w:rsidR="00C50870">
        <w:rPr>
          <w:rFonts w:eastAsia="仿宋_GB2312"/>
          <w:color w:val="000000"/>
          <w:sz w:val="32"/>
          <w:szCs w:val="32"/>
        </w:rPr>
        <w:t>万元，占基本支出的</w:t>
      </w:r>
      <w:r w:rsidR="007167BA">
        <w:rPr>
          <w:rFonts w:eastAsia="仿宋_GB2312" w:hint="eastAsia"/>
          <w:color w:val="000000"/>
          <w:sz w:val="32"/>
          <w:szCs w:val="32"/>
        </w:rPr>
        <w:t>83.80</w:t>
      </w:r>
      <w:r w:rsidR="00C50870">
        <w:rPr>
          <w:rFonts w:eastAsia="仿宋_GB2312"/>
          <w:color w:val="000000"/>
          <w:sz w:val="32"/>
          <w:szCs w:val="32"/>
        </w:rPr>
        <w:t>%</w:t>
      </w:r>
      <w:r w:rsidR="00C50870">
        <w:rPr>
          <w:rFonts w:eastAsia="仿宋_GB2312"/>
          <w:color w:val="000000"/>
          <w:sz w:val="32"/>
          <w:szCs w:val="32"/>
        </w:rPr>
        <w:t>，</w:t>
      </w:r>
      <w:r w:rsidR="00C50870">
        <w:rPr>
          <w:rFonts w:eastAsia="仿宋_GB2312" w:hint="eastAsia"/>
          <w:color w:val="000000"/>
          <w:sz w:val="32"/>
          <w:szCs w:val="32"/>
        </w:rPr>
        <w:t>与上年</w:t>
      </w:r>
      <w:r w:rsidR="007167BA">
        <w:rPr>
          <w:rFonts w:eastAsia="仿宋_GB2312" w:hint="eastAsia"/>
          <w:color w:val="000000"/>
          <w:sz w:val="32"/>
          <w:szCs w:val="32"/>
        </w:rPr>
        <w:t>164.07</w:t>
      </w:r>
      <w:r w:rsidR="00D50658">
        <w:rPr>
          <w:rFonts w:eastAsia="仿宋_GB2312" w:hint="eastAsia"/>
          <w:color w:val="000000"/>
          <w:sz w:val="32"/>
          <w:szCs w:val="32"/>
        </w:rPr>
        <w:t>万元</w:t>
      </w:r>
      <w:r w:rsidR="00AE6310">
        <w:rPr>
          <w:rFonts w:eastAsia="仿宋_GB2312" w:hint="eastAsia"/>
          <w:sz w:val="32"/>
          <w:szCs w:val="32"/>
        </w:rPr>
        <w:t>增加</w:t>
      </w:r>
      <w:r w:rsidR="007167BA">
        <w:rPr>
          <w:rFonts w:eastAsia="仿宋_GB2312" w:hint="eastAsia"/>
          <w:color w:val="000000"/>
          <w:sz w:val="32"/>
          <w:szCs w:val="32"/>
        </w:rPr>
        <w:t>31.44</w:t>
      </w:r>
      <w:r w:rsidR="00D50658">
        <w:rPr>
          <w:rFonts w:eastAsia="仿宋_GB2312" w:hint="eastAsia"/>
          <w:color w:val="000000"/>
          <w:sz w:val="32"/>
          <w:szCs w:val="32"/>
        </w:rPr>
        <w:t>万</w:t>
      </w:r>
      <w:r w:rsidR="00D50658">
        <w:rPr>
          <w:rFonts w:eastAsia="仿宋_GB2312" w:hint="eastAsia"/>
          <w:color w:val="000000"/>
          <w:sz w:val="32"/>
          <w:szCs w:val="32"/>
        </w:rPr>
        <w:lastRenderedPageBreak/>
        <w:t>元增加原因为：</w:t>
      </w:r>
      <w:r w:rsidR="007167BA" w:rsidRPr="007167BA">
        <w:rPr>
          <w:rFonts w:eastAsia="仿宋_GB2312" w:hint="eastAsia"/>
          <w:color w:val="000000"/>
          <w:sz w:val="32"/>
          <w:szCs w:val="32"/>
        </w:rPr>
        <w:t>上年使用以前年度结余资金，本年收支平衡</w:t>
      </w:r>
      <w:r w:rsidR="00C50870">
        <w:rPr>
          <w:rFonts w:eastAsia="仿宋_GB2312" w:hint="eastAsia"/>
          <w:color w:val="000000"/>
          <w:sz w:val="32"/>
          <w:szCs w:val="32"/>
        </w:rPr>
        <w:t>；</w:t>
      </w:r>
      <w:r w:rsidR="00C50870">
        <w:rPr>
          <w:rFonts w:eastAsia="仿宋_GB2312"/>
          <w:color w:val="000000"/>
          <w:sz w:val="32"/>
          <w:szCs w:val="32"/>
        </w:rPr>
        <w:t>日常公用经费</w:t>
      </w:r>
      <w:r w:rsidR="007167BA">
        <w:rPr>
          <w:rFonts w:eastAsia="仿宋_GB2312" w:hint="eastAsia"/>
          <w:color w:val="000000"/>
          <w:sz w:val="32"/>
          <w:szCs w:val="32"/>
        </w:rPr>
        <w:t>37.79</w:t>
      </w:r>
      <w:r w:rsidR="00C50870">
        <w:rPr>
          <w:rFonts w:eastAsia="仿宋_GB2312"/>
          <w:color w:val="000000"/>
          <w:sz w:val="32"/>
          <w:szCs w:val="32"/>
        </w:rPr>
        <w:t>万元，占基本支出的</w:t>
      </w:r>
      <w:r w:rsidR="007167BA">
        <w:rPr>
          <w:rFonts w:eastAsia="仿宋_GB2312" w:hint="eastAsia"/>
          <w:color w:val="000000"/>
          <w:sz w:val="32"/>
          <w:szCs w:val="32"/>
        </w:rPr>
        <w:t>16.20</w:t>
      </w:r>
      <w:r w:rsidR="00C50870">
        <w:rPr>
          <w:rFonts w:eastAsia="仿宋_GB2312"/>
          <w:color w:val="000000"/>
          <w:sz w:val="32"/>
          <w:szCs w:val="32"/>
        </w:rPr>
        <w:t>%</w:t>
      </w:r>
      <w:r w:rsidR="00C50870">
        <w:rPr>
          <w:rFonts w:eastAsia="仿宋_GB2312"/>
          <w:color w:val="000000"/>
          <w:sz w:val="32"/>
          <w:szCs w:val="32"/>
        </w:rPr>
        <w:t>，较上年</w:t>
      </w:r>
      <w:r w:rsidR="007167BA">
        <w:rPr>
          <w:rFonts w:eastAsia="仿宋_GB2312" w:hint="eastAsia"/>
          <w:color w:val="000000"/>
          <w:sz w:val="32"/>
          <w:szCs w:val="32"/>
        </w:rPr>
        <w:t>46.07</w:t>
      </w:r>
      <w:r w:rsidR="00D50658">
        <w:rPr>
          <w:rFonts w:eastAsia="仿宋_GB2312" w:hint="eastAsia"/>
          <w:color w:val="000000"/>
          <w:sz w:val="32"/>
          <w:szCs w:val="32"/>
        </w:rPr>
        <w:t>万元</w:t>
      </w:r>
      <w:r w:rsidR="00F437A6">
        <w:rPr>
          <w:rFonts w:eastAsia="仿宋_GB2312" w:hint="eastAsia"/>
          <w:color w:val="000000"/>
          <w:sz w:val="32"/>
          <w:szCs w:val="32"/>
        </w:rPr>
        <w:t>减少</w:t>
      </w:r>
      <w:r w:rsidR="007167BA">
        <w:rPr>
          <w:rFonts w:eastAsia="仿宋_GB2312" w:hint="eastAsia"/>
          <w:color w:val="000000"/>
          <w:sz w:val="32"/>
          <w:szCs w:val="32"/>
        </w:rPr>
        <w:t>17.97</w:t>
      </w:r>
      <w:r w:rsidR="00C50870">
        <w:rPr>
          <w:rFonts w:eastAsia="仿宋_GB2312"/>
          <w:color w:val="000000"/>
          <w:sz w:val="32"/>
          <w:szCs w:val="32"/>
        </w:rPr>
        <w:t>%</w:t>
      </w:r>
      <w:r w:rsidR="00C50870">
        <w:rPr>
          <w:rFonts w:eastAsia="仿宋_GB2312" w:hint="eastAsia"/>
          <w:color w:val="000000"/>
          <w:sz w:val="32"/>
          <w:szCs w:val="32"/>
        </w:rPr>
        <w:t>，主要原因是</w:t>
      </w:r>
      <w:r w:rsidR="00F437A6">
        <w:rPr>
          <w:rFonts w:eastAsia="仿宋_GB2312" w:hint="eastAsia"/>
          <w:color w:val="000000"/>
          <w:sz w:val="32"/>
          <w:szCs w:val="32"/>
        </w:rPr>
        <w:t>受疫情影响和压减非重点、刚性支出要求，我单位厉行节约、严格把关，严控三公经费支出，大力压减公用经费支出。</w:t>
      </w:r>
    </w:p>
    <w:p w:rsidR="00E4748B" w:rsidRDefault="00C50870" w:rsidP="00F437A6">
      <w:pPr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项目支出情况</w:t>
      </w:r>
    </w:p>
    <w:p w:rsidR="00E4748B" w:rsidRDefault="007167BA">
      <w:pPr>
        <w:tabs>
          <w:tab w:val="left" w:pos="2296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</w:t>
      </w:r>
      <w:r>
        <w:rPr>
          <w:rFonts w:eastAsia="仿宋_GB2312" w:hint="eastAsia"/>
          <w:sz w:val="32"/>
          <w:szCs w:val="32"/>
        </w:rPr>
        <w:t>我局</w:t>
      </w:r>
      <w:r>
        <w:rPr>
          <w:rFonts w:eastAsia="仿宋_GB2312"/>
          <w:sz w:val="32"/>
          <w:szCs w:val="32"/>
        </w:rPr>
        <w:t>为完成</w:t>
      </w:r>
      <w:r>
        <w:rPr>
          <w:rFonts w:eastAsia="仿宋_GB2312" w:hint="eastAsia"/>
          <w:sz w:val="32"/>
          <w:szCs w:val="32"/>
        </w:rPr>
        <w:t>林业</w:t>
      </w:r>
      <w:r>
        <w:rPr>
          <w:rFonts w:eastAsia="仿宋_GB2312"/>
          <w:sz w:val="32"/>
          <w:szCs w:val="32"/>
        </w:rPr>
        <w:t>管理工作而发生的支出，包括行业务工作经费和运行维护经费。</w:t>
      </w:r>
      <w:r w:rsidR="00C50870">
        <w:rPr>
          <w:rFonts w:eastAsia="仿宋_GB2312"/>
          <w:sz w:val="32"/>
          <w:szCs w:val="32"/>
        </w:rPr>
        <w:t>20</w:t>
      </w:r>
      <w:r w:rsidR="00A84192">
        <w:rPr>
          <w:rFonts w:eastAsia="仿宋_GB2312" w:hint="eastAsia"/>
          <w:sz w:val="32"/>
          <w:szCs w:val="32"/>
        </w:rPr>
        <w:t>22</w:t>
      </w:r>
      <w:r w:rsidR="00C50870">
        <w:rPr>
          <w:rFonts w:eastAsia="仿宋_GB2312"/>
          <w:sz w:val="32"/>
          <w:szCs w:val="32"/>
        </w:rPr>
        <w:t>年项目支出</w:t>
      </w:r>
      <w:r>
        <w:rPr>
          <w:rFonts w:eastAsia="仿宋_GB2312" w:hint="eastAsia"/>
          <w:sz w:val="32"/>
          <w:szCs w:val="32"/>
        </w:rPr>
        <w:t>2</w:t>
      </w:r>
      <w:r w:rsidR="007D2A93"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487.80</w:t>
      </w:r>
      <w:r w:rsidR="00C50870">
        <w:rPr>
          <w:rFonts w:eastAsia="仿宋_GB2312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2</w:t>
      </w:r>
      <w:r w:rsidR="007D2A93"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812.96</w:t>
      </w:r>
      <w:r w:rsidR="00A84192">
        <w:rPr>
          <w:rFonts w:eastAsia="仿宋_GB2312" w:hint="eastAsia"/>
          <w:sz w:val="32"/>
          <w:szCs w:val="32"/>
        </w:rPr>
        <w:t>万元</w:t>
      </w:r>
      <w:r w:rsidR="00AE6310">
        <w:rPr>
          <w:rFonts w:eastAsia="仿宋_GB2312" w:hint="eastAsia"/>
          <w:sz w:val="32"/>
          <w:szCs w:val="32"/>
        </w:rPr>
        <w:t>减少</w:t>
      </w:r>
      <w:r>
        <w:rPr>
          <w:rFonts w:eastAsia="仿宋_GB2312" w:hint="eastAsia"/>
          <w:sz w:val="32"/>
          <w:szCs w:val="32"/>
        </w:rPr>
        <w:t>325.16</w:t>
      </w:r>
      <w:r w:rsidR="00C50870">
        <w:rPr>
          <w:rFonts w:eastAsia="仿宋_GB2312"/>
          <w:sz w:val="32"/>
          <w:szCs w:val="32"/>
        </w:rPr>
        <w:t>万元</w:t>
      </w:r>
      <w:r w:rsidR="00C50870">
        <w:rPr>
          <w:rFonts w:eastAsia="仿宋_GB2312" w:hint="eastAsia"/>
          <w:sz w:val="32"/>
          <w:szCs w:val="32"/>
        </w:rPr>
        <w:t>，</w:t>
      </w:r>
      <w:r w:rsidR="00A84192">
        <w:rPr>
          <w:rFonts w:eastAsia="仿宋_GB2312"/>
          <w:sz w:val="32"/>
          <w:szCs w:val="32"/>
        </w:rPr>
        <w:t>其中业务工作经费支出</w:t>
      </w:r>
      <w:r w:rsidR="00A84192">
        <w:rPr>
          <w:rFonts w:eastAsia="仿宋_GB2312" w:hint="eastAsia"/>
          <w:sz w:val="32"/>
          <w:szCs w:val="32"/>
        </w:rPr>
        <w:t>0</w:t>
      </w:r>
      <w:r w:rsidR="00A84192">
        <w:rPr>
          <w:rFonts w:eastAsia="仿宋_GB2312"/>
          <w:sz w:val="32"/>
          <w:szCs w:val="32"/>
        </w:rPr>
        <w:t>万元，比上年</w:t>
      </w:r>
      <w:r w:rsidR="00A84192">
        <w:rPr>
          <w:rFonts w:eastAsia="仿宋_GB2312" w:hint="eastAsia"/>
          <w:sz w:val="32"/>
          <w:szCs w:val="32"/>
        </w:rPr>
        <w:t>减少</w:t>
      </w:r>
      <w:r w:rsidR="00A84192">
        <w:rPr>
          <w:rFonts w:eastAsia="仿宋_GB2312" w:hint="eastAsia"/>
          <w:sz w:val="32"/>
          <w:szCs w:val="32"/>
        </w:rPr>
        <w:t>0</w:t>
      </w:r>
      <w:r w:rsidR="00A84192">
        <w:rPr>
          <w:rFonts w:eastAsia="仿宋_GB2312"/>
          <w:sz w:val="32"/>
          <w:szCs w:val="32"/>
        </w:rPr>
        <w:t>万元，</w:t>
      </w:r>
      <w:r w:rsidR="00C50870">
        <w:rPr>
          <w:rFonts w:eastAsia="仿宋_GB2312"/>
          <w:sz w:val="32"/>
          <w:szCs w:val="32"/>
        </w:rPr>
        <w:t>主要是</w:t>
      </w:r>
      <w:r w:rsidR="00C50870">
        <w:rPr>
          <w:rFonts w:eastAsia="仿宋_GB2312" w:hint="eastAsia"/>
          <w:sz w:val="32"/>
          <w:szCs w:val="32"/>
        </w:rPr>
        <w:t>压缩一般性支出</w:t>
      </w:r>
      <w:r w:rsidR="00C50870">
        <w:rPr>
          <w:rFonts w:eastAsia="仿宋_GB2312"/>
          <w:sz w:val="32"/>
          <w:szCs w:val="32"/>
        </w:rPr>
        <w:t>；运行维护经费支出</w:t>
      </w:r>
      <w:r>
        <w:rPr>
          <w:rFonts w:eastAsia="仿宋_GB2312" w:hint="eastAsia"/>
          <w:sz w:val="32"/>
          <w:szCs w:val="32"/>
        </w:rPr>
        <w:t>2</w:t>
      </w:r>
      <w:r w:rsidR="007D2A93"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487.80</w:t>
      </w:r>
      <w:r>
        <w:rPr>
          <w:rFonts w:eastAsia="仿宋_GB2312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2</w:t>
      </w:r>
      <w:r w:rsidR="007D2A93"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812.96</w:t>
      </w:r>
      <w:r>
        <w:rPr>
          <w:rFonts w:eastAsia="仿宋_GB2312" w:hint="eastAsia"/>
          <w:sz w:val="32"/>
          <w:szCs w:val="32"/>
        </w:rPr>
        <w:t>万元减少</w:t>
      </w:r>
      <w:r>
        <w:rPr>
          <w:rFonts w:eastAsia="仿宋_GB2312" w:hint="eastAsia"/>
          <w:sz w:val="32"/>
          <w:szCs w:val="32"/>
        </w:rPr>
        <w:t>325.16</w:t>
      </w:r>
      <w:r>
        <w:rPr>
          <w:rFonts w:eastAsia="仿宋_GB2312"/>
          <w:sz w:val="32"/>
          <w:szCs w:val="32"/>
        </w:rPr>
        <w:t>万元</w:t>
      </w:r>
      <w:r w:rsidR="00C50870">
        <w:rPr>
          <w:rFonts w:eastAsia="仿宋_GB2312"/>
          <w:sz w:val="32"/>
          <w:szCs w:val="32"/>
        </w:rPr>
        <w:t>，</w:t>
      </w:r>
      <w:r w:rsidR="00AE6310">
        <w:rPr>
          <w:rFonts w:eastAsia="仿宋_GB2312" w:hint="eastAsia"/>
          <w:sz w:val="32"/>
          <w:szCs w:val="32"/>
        </w:rPr>
        <w:t>减少</w:t>
      </w:r>
      <w:r>
        <w:rPr>
          <w:rFonts w:eastAsia="仿宋_GB2312" w:hint="eastAsia"/>
          <w:sz w:val="32"/>
          <w:szCs w:val="32"/>
        </w:rPr>
        <w:t>11.56</w:t>
      </w:r>
      <w:r w:rsidR="00C50870">
        <w:rPr>
          <w:rFonts w:eastAsia="仿宋_GB2312"/>
          <w:sz w:val="32"/>
          <w:szCs w:val="32"/>
        </w:rPr>
        <w:t>%</w:t>
      </w:r>
      <w:r w:rsidR="00C50870">
        <w:rPr>
          <w:rFonts w:eastAsia="仿宋_GB2312"/>
          <w:sz w:val="32"/>
          <w:szCs w:val="32"/>
        </w:rPr>
        <w:t>，主要是</w:t>
      </w:r>
      <w:r>
        <w:rPr>
          <w:rFonts w:eastAsia="仿宋_GB2312" w:hint="eastAsia"/>
          <w:color w:val="000000"/>
          <w:sz w:val="32"/>
          <w:szCs w:val="32"/>
        </w:rPr>
        <w:t>大额项目已完工</w:t>
      </w:r>
      <w:r w:rsidR="000666F6">
        <w:rPr>
          <w:rFonts w:eastAsia="仿宋_GB2312" w:hint="eastAsia"/>
          <w:color w:val="000000"/>
          <w:sz w:val="32"/>
          <w:szCs w:val="32"/>
        </w:rPr>
        <w:t>、</w:t>
      </w:r>
      <w:r w:rsidR="00AE6310">
        <w:rPr>
          <w:rFonts w:eastAsia="仿宋_GB2312" w:hint="eastAsia"/>
          <w:sz w:val="32"/>
          <w:szCs w:val="32"/>
        </w:rPr>
        <w:t>无大额项目支出</w:t>
      </w:r>
      <w:r w:rsidR="00ED5AA3">
        <w:rPr>
          <w:rFonts w:eastAsia="仿宋_GB2312" w:hint="eastAsia"/>
          <w:sz w:val="32"/>
          <w:szCs w:val="32"/>
        </w:rPr>
        <w:t>。</w:t>
      </w:r>
      <w:r w:rsidR="00ED5AA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部门整体支出绩效情况</w:t>
      </w:r>
    </w:p>
    <w:p w:rsidR="009A4BDF" w:rsidRDefault="00F80A99" w:rsidP="009A4BDF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F80A99">
        <w:rPr>
          <w:rFonts w:ascii="Times New Roman" w:eastAsia="仿宋_GB2312" w:hAnsi="Times New Roman" w:hint="eastAsia"/>
          <w:sz w:val="32"/>
          <w:szCs w:val="32"/>
        </w:rPr>
        <w:t>综上所述，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 w:rsidRPr="00F80A99">
        <w:rPr>
          <w:rFonts w:ascii="Times New Roman" w:eastAsia="仿宋_GB2312" w:hAnsi="Times New Roman" w:hint="eastAsia"/>
          <w:sz w:val="32"/>
          <w:szCs w:val="32"/>
        </w:rPr>
        <w:t>年度我</w:t>
      </w:r>
      <w:r w:rsidR="007167BA">
        <w:rPr>
          <w:rFonts w:ascii="Times New Roman" w:eastAsia="仿宋_GB2312" w:hAnsi="Times New Roman" w:hint="eastAsia"/>
          <w:sz w:val="32"/>
          <w:szCs w:val="32"/>
        </w:rPr>
        <w:t>局</w:t>
      </w:r>
      <w:r w:rsidR="009A4BDF">
        <w:rPr>
          <w:rFonts w:ascii="Times New Roman" w:eastAsia="仿宋_GB2312" w:hAnsi="Times New Roman" w:hint="eastAsia"/>
          <w:sz w:val="32"/>
          <w:szCs w:val="32"/>
        </w:rPr>
        <w:t>努力做好各项</w:t>
      </w:r>
      <w:r w:rsidRPr="00F80A99">
        <w:rPr>
          <w:rFonts w:ascii="Times New Roman" w:eastAsia="仿宋_GB2312" w:hAnsi="Times New Roman" w:hint="eastAsia"/>
          <w:sz w:val="32"/>
          <w:szCs w:val="32"/>
        </w:rPr>
        <w:t>支出以及各项目</w:t>
      </w:r>
      <w:r w:rsidR="009A4BDF">
        <w:rPr>
          <w:rFonts w:ascii="Times New Roman" w:eastAsia="仿宋_GB2312" w:hAnsi="Times New Roman" w:hint="eastAsia"/>
          <w:sz w:val="32"/>
          <w:szCs w:val="32"/>
        </w:rPr>
        <w:t>的管理工作，并将及时公开到财政管理平台，对</w:t>
      </w:r>
      <w:r w:rsidRPr="00F80A99">
        <w:rPr>
          <w:rFonts w:ascii="Times New Roman" w:eastAsia="仿宋_GB2312" w:hAnsi="Times New Roman" w:hint="eastAsia"/>
          <w:sz w:val="32"/>
          <w:szCs w:val="32"/>
        </w:rPr>
        <w:t>资金进行全方位的监督和管理，使每一笔资金都能起到最大的使用效益。结合我校实际将支出进行合理化分配，以达到合理高效地运用资金、提升资金的产出效果、节约成本与资源、</w:t>
      </w:r>
      <w:r w:rsidR="009A4BDF">
        <w:rPr>
          <w:rFonts w:ascii="Times New Roman" w:eastAsia="仿宋_GB2312" w:hAnsi="Times New Roman" w:hint="eastAsia"/>
          <w:sz w:val="32"/>
          <w:szCs w:val="32"/>
        </w:rPr>
        <w:t>提高部门的办事效率</w:t>
      </w:r>
      <w:r w:rsidRPr="00F80A99">
        <w:rPr>
          <w:rFonts w:ascii="Times New Roman" w:eastAsia="仿宋_GB2312" w:hAnsi="Times New Roman" w:hint="eastAsia"/>
          <w:sz w:val="32"/>
          <w:szCs w:val="32"/>
        </w:rPr>
        <w:t>。在部门预算</w:t>
      </w:r>
      <w:r w:rsidR="009A4BDF">
        <w:rPr>
          <w:rFonts w:ascii="Times New Roman" w:eastAsia="仿宋_GB2312" w:hAnsi="Times New Roman" w:hint="eastAsia"/>
          <w:sz w:val="32"/>
          <w:szCs w:val="32"/>
        </w:rPr>
        <w:t>整体支出绩效方面</w:t>
      </w:r>
      <w:r w:rsidRPr="00F80A99">
        <w:rPr>
          <w:rFonts w:ascii="Times New Roman" w:eastAsia="仿宋_GB2312" w:hAnsi="Times New Roman" w:hint="eastAsia"/>
          <w:sz w:val="32"/>
          <w:szCs w:val="32"/>
        </w:rPr>
        <w:t>按规定严格执行，合</w:t>
      </w:r>
      <w:r w:rsidR="009A4BDF">
        <w:rPr>
          <w:rFonts w:ascii="Times New Roman" w:eastAsia="仿宋_GB2312" w:hAnsi="Times New Roman" w:hint="eastAsia"/>
          <w:sz w:val="32"/>
          <w:szCs w:val="32"/>
        </w:rPr>
        <w:t>理安排支出，使财政资金发挥出最大的效</w:t>
      </w:r>
      <w:r w:rsidRPr="00F80A99">
        <w:rPr>
          <w:rFonts w:ascii="Times New Roman" w:eastAsia="仿宋_GB2312" w:hAnsi="Times New Roman" w:hint="eastAsia"/>
          <w:sz w:val="32"/>
          <w:szCs w:val="32"/>
        </w:rPr>
        <w:t>益。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存在的问题及原因分析</w:t>
      </w:r>
    </w:p>
    <w:p w:rsidR="00E4748B" w:rsidRDefault="00BB459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 w:rsidR="002C133B">
        <w:rPr>
          <w:rFonts w:eastAsia="仿宋_GB2312" w:hint="eastAsia"/>
          <w:sz w:val="32"/>
          <w:szCs w:val="32"/>
        </w:rPr>
        <w:t>单位</w:t>
      </w:r>
      <w:r w:rsidR="00C50870">
        <w:rPr>
          <w:rFonts w:eastAsia="仿宋_GB2312"/>
          <w:sz w:val="32"/>
          <w:szCs w:val="32"/>
        </w:rPr>
        <w:t>整体支出情况的分析，反映出目前整</w:t>
      </w:r>
      <w:r w:rsidR="00C50870">
        <w:rPr>
          <w:rFonts w:eastAsia="仿宋_GB2312"/>
          <w:sz w:val="32"/>
          <w:szCs w:val="32"/>
        </w:rPr>
        <w:lastRenderedPageBreak/>
        <w:t>体支出主要在预算执行方面还存在一些问题和不足：</w:t>
      </w:r>
    </w:p>
    <w:p w:rsidR="00E4748B" w:rsidRDefault="00C50870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（一）部分项目完成度有待提升。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由于疫情冲击影响的客观因素，以及牢固树立过紧日子思想，主动压缩非重点、刚性支出的主观因素，导致部分预算</w:t>
      </w:r>
      <w:r w:rsidR="00BB4595">
        <w:rPr>
          <w:rFonts w:eastAsia="仿宋_GB2312" w:hint="eastAsia"/>
          <w:sz w:val="32"/>
          <w:szCs w:val="32"/>
        </w:rPr>
        <w:t>项目如培训费、出国费预算执行情况不理想，其中培训费实际支付进度为</w:t>
      </w:r>
      <w:r w:rsidR="00AE6310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 xml:space="preserve">% </w:t>
      </w:r>
      <w:r>
        <w:rPr>
          <w:rFonts w:eastAsia="仿宋_GB2312" w:hint="eastAsia"/>
          <w:sz w:val="32"/>
          <w:szCs w:val="32"/>
        </w:rPr>
        <w:t>，出国费实际支付进度为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。我们将在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eastAsia="仿宋_GB2312" w:hint="eastAsia"/>
          <w:sz w:val="32"/>
          <w:szCs w:val="32"/>
        </w:rPr>
        <w:t>提前谋划，科学编制项目预算，进一步提高预算编制的精确性。</w:t>
      </w:r>
    </w:p>
    <w:p w:rsidR="00E4748B" w:rsidRDefault="00C50870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（二）部分项目实施与预算执行存在脱节。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疫情影响，部分项目启动较晚，实施周期相对较长，导致项目验收晚，预算执行进度偏慢，相对比较集中。我们将在下年予以重视，督促项目实施单位早启动、早实施、早验收，对符合条件的项目按照项目进度支付相关款项。</w:t>
      </w:r>
    </w:p>
    <w:p w:rsidR="00E4748B" w:rsidRDefault="00C50870">
      <w:pPr>
        <w:widowControl/>
        <w:numPr>
          <w:ilvl w:val="0"/>
          <w:numId w:val="3"/>
        </w:num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下一步改进措施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强化预算管理，定期开展预算执行分析。</w:t>
      </w:r>
      <w:r>
        <w:rPr>
          <w:rFonts w:eastAsia="仿宋_GB2312" w:hint="eastAsia"/>
          <w:sz w:val="32"/>
          <w:szCs w:val="32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 w:rsidR="00E4748B" w:rsidSect="00E474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40" w:rsidRDefault="004A5340" w:rsidP="00E4748B">
      <w:r>
        <w:separator/>
      </w:r>
    </w:p>
  </w:endnote>
  <w:endnote w:type="continuationSeparator" w:id="1">
    <w:p w:rsidR="004A5340" w:rsidRDefault="004A5340" w:rsidP="00E4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8B" w:rsidRDefault="005C30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4748B" w:rsidRDefault="005C306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5087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A26EA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40" w:rsidRDefault="004A5340" w:rsidP="00E4748B">
      <w:r>
        <w:separator/>
      </w:r>
    </w:p>
  </w:footnote>
  <w:footnote w:type="continuationSeparator" w:id="1">
    <w:p w:rsidR="004A5340" w:rsidRDefault="004A5340" w:rsidP="00E47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39CCF1"/>
    <w:multiLevelType w:val="singleLevel"/>
    <w:tmpl w:val="F639CC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4028E5"/>
    <w:multiLevelType w:val="singleLevel"/>
    <w:tmpl w:val="524028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2A871F"/>
    <w:multiLevelType w:val="singleLevel"/>
    <w:tmpl w:val="692A871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06247"/>
    <w:rsid w:val="000666F6"/>
    <w:rsid w:val="001462D1"/>
    <w:rsid w:val="001746FD"/>
    <w:rsid w:val="001A26EA"/>
    <w:rsid w:val="001F3CD0"/>
    <w:rsid w:val="00275844"/>
    <w:rsid w:val="002C133B"/>
    <w:rsid w:val="002D0008"/>
    <w:rsid w:val="00321096"/>
    <w:rsid w:val="0036613A"/>
    <w:rsid w:val="003A44C4"/>
    <w:rsid w:val="003C39DB"/>
    <w:rsid w:val="00401DFF"/>
    <w:rsid w:val="004A5340"/>
    <w:rsid w:val="00596203"/>
    <w:rsid w:val="005C3067"/>
    <w:rsid w:val="005E48B1"/>
    <w:rsid w:val="00604812"/>
    <w:rsid w:val="00606478"/>
    <w:rsid w:val="006772D8"/>
    <w:rsid w:val="007167BA"/>
    <w:rsid w:val="007D2A93"/>
    <w:rsid w:val="007D40EC"/>
    <w:rsid w:val="00881676"/>
    <w:rsid w:val="008C2EE2"/>
    <w:rsid w:val="008D0568"/>
    <w:rsid w:val="008E52BF"/>
    <w:rsid w:val="009226F4"/>
    <w:rsid w:val="0096310C"/>
    <w:rsid w:val="00966222"/>
    <w:rsid w:val="009A4BDF"/>
    <w:rsid w:val="00A03E35"/>
    <w:rsid w:val="00A83B82"/>
    <w:rsid w:val="00A84192"/>
    <w:rsid w:val="00AE6310"/>
    <w:rsid w:val="00B02D1F"/>
    <w:rsid w:val="00B32BE9"/>
    <w:rsid w:val="00B57950"/>
    <w:rsid w:val="00BB4595"/>
    <w:rsid w:val="00C50870"/>
    <w:rsid w:val="00D50658"/>
    <w:rsid w:val="00D52406"/>
    <w:rsid w:val="00D5731C"/>
    <w:rsid w:val="00DF0434"/>
    <w:rsid w:val="00DF69EC"/>
    <w:rsid w:val="00E4748B"/>
    <w:rsid w:val="00E52766"/>
    <w:rsid w:val="00EA6BBE"/>
    <w:rsid w:val="00ED5AA3"/>
    <w:rsid w:val="00F32DE3"/>
    <w:rsid w:val="00F437A6"/>
    <w:rsid w:val="00F76D10"/>
    <w:rsid w:val="00F80A99"/>
    <w:rsid w:val="00FC08F5"/>
    <w:rsid w:val="103C1D0B"/>
    <w:rsid w:val="149B2A0B"/>
    <w:rsid w:val="20E67351"/>
    <w:rsid w:val="28606852"/>
    <w:rsid w:val="29121970"/>
    <w:rsid w:val="29EF7861"/>
    <w:rsid w:val="2ADA6473"/>
    <w:rsid w:val="30BE2A8F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74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74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47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sid w:val="00E4748B"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sid w:val="00E4748B"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sid w:val="00E4748B"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25</cp:revision>
  <cp:lastPrinted>2022-12-08T01:17:00Z</cp:lastPrinted>
  <dcterms:created xsi:type="dcterms:W3CDTF">2023-02-07T01:14:00Z</dcterms:created>
  <dcterms:modified xsi:type="dcterms:W3CDTF">2023-02-08T03:07:00Z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