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p>
    <w:p>
      <w:pPr>
        <w:rPr>
          <w:sz w:val="30"/>
          <w:szCs w:val="30"/>
        </w:rPr>
      </w:pPr>
    </w:p>
    <w:p>
      <w:pPr>
        <w:rPr>
          <w:sz w:val="30"/>
          <w:szCs w:val="30"/>
        </w:rPr>
      </w:pPr>
    </w:p>
    <w:p>
      <w:pPr>
        <w:rPr>
          <w:sz w:val="30"/>
          <w:szCs w:val="30"/>
        </w:rPr>
      </w:pPr>
    </w:p>
    <w:p>
      <w:pPr>
        <w:jc w:val="center"/>
        <w:rPr>
          <w:sz w:val="30"/>
          <w:szCs w:val="30"/>
        </w:rPr>
      </w:pPr>
    </w:p>
    <w:p>
      <w:pPr>
        <w:jc w:val="center"/>
        <w:rPr>
          <w:rFonts w:ascii="仿宋" w:hAnsi="仿宋" w:eastAsia="仿宋" w:cs="仿宋"/>
          <w:sz w:val="30"/>
          <w:szCs w:val="30"/>
        </w:rPr>
      </w:pPr>
      <w:r>
        <w:rPr>
          <w:rFonts w:hint="eastAsia" w:ascii="楷体" w:hAnsi="楷体" w:eastAsia="楷体" w:cs="楷体"/>
          <w:sz w:val="30"/>
          <w:szCs w:val="30"/>
        </w:rPr>
        <w:t>岳财字〔2022〕55 号</w:t>
      </w:r>
    </w:p>
    <w:p>
      <w:pPr>
        <w:jc w:val="center"/>
        <w:rPr>
          <w:rFonts w:ascii="宋体" w:hAnsi="宋体" w:eastAsia="宋体" w:cs="宋体"/>
          <w:sz w:val="36"/>
          <w:szCs w:val="36"/>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关于对2022年部门整体支出和项目支出  全面开展绩效自评的通知</w:t>
      </w:r>
    </w:p>
    <w:p>
      <w:pPr>
        <w:spacing w:line="580" w:lineRule="exact"/>
        <w:rPr>
          <w:rFonts w:ascii="宋体" w:hAnsi="宋体" w:eastAsia="宋体" w:cs="宋体"/>
          <w:sz w:val="36"/>
          <w:szCs w:val="36"/>
        </w:rPr>
      </w:pPr>
    </w:p>
    <w:p>
      <w:pPr>
        <w:spacing w:line="520" w:lineRule="exact"/>
        <w:rPr>
          <w:rFonts w:ascii="仿宋" w:hAnsi="仿宋" w:eastAsia="仿宋" w:cs="仿宋"/>
          <w:sz w:val="32"/>
          <w:szCs w:val="32"/>
        </w:rPr>
      </w:pPr>
      <w:r>
        <w:rPr>
          <w:rFonts w:hint="eastAsia" w:ascii="仿宋" w:hAnsi="仿宋" w:eastAsia="仿宋" w:cs="仿宋"/>
          <w:sz w:val="32"/>
          <w:szCs w:val="32"/>
        </w:rPr>
        <w:t>各预算单位：</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根据上级财政部门对绩效自评工作全覆盖和乡村振兴考核工作的要求，现将2022年部门整体支出和项目支出绩效自评工作通知如下：</w:t>
      </w:r>
    </w:p>
    <w:p>
      <w:pPr>
        <w:numPr>
          <w:ilvl w:val="0"/>
          <w:numId w:val="1"/>
        </w:num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各预算单位应根据年初、年中制定的绩效目标指标，对2022年12月31日前的实际完成情况进行绩效自评（乡村振兴项目除外）。对于年底绩效指标未完成的，要逐项说明偏离绩效目标形成差异的原因及以后改进措施。绩效自评的范围为：项目支出（部门预算专项单项10万元以上的项目、全区性专项单项50万元以上的项目）和部门整体支出、专项债券项目等。</w:t>
      </w:r>
    </w:p>
    <w:p>
      <w:pPr>
        <w:numPr>
          <w:ilvl w:val="0"/>
          <w:numId w:val="1"/>
        </w:num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乡村振兴资金项目单位不论金额起点，不论是否完工，均应进行绩效自评，自评日期截止2022年12月15日前。</w:t>
      </w: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二、项目支出不论年底是否完工（包含全年未开工项目），均要进行绩效自评。项目支出填写绩效自评表，部门整体支出撰写绩效自评报告。</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三、报送审核程序：预算单位将纸质版交相应支出股室初审，再到绩效股复审，并提供电子版给绩效股（302室，5677520，联系人：旷文倩）。</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四、其它要求：</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乡村振兴项目支出绩效自评表报送审核截止时间为2022年12月20日，相关单位务必于12月25日前公开到预决算公开位置。其他所有项目支出绩效自评表和部门整体支出绩效自评报告报送审核截止时间为2023年2月10日，各单位务必于2022年部门决算公开规定时限内，公开到部门决算说明最后的附件位置。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2、逾期不交或不按要求报送、公开的，将纳入政府对各单位绩效目标管理考核体系扣分。</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3、项目绩效自评表和部门整体支出绩效自评报告格式见**区金融办扶贫金融贴息绩效自评表（附件）和**财政厅2020年部门整体支出绩效自评报告，在国库集中支付群中下载。</w:t>
      </w: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附件：1、**区金融办扶贫金融贴息绩效自评表</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2、**财政厅2020年部门整体支出绩效自评报告</w:t>
      </w:r>
    </w:p>
    <w:p>
      <w:pPr>
        <w:spacing w:line="520" w:lineRule="exact"/>
        <w:ind w:firstLine="640" w:firstLineChars="200"/>
        <w:rPr>
          <w:rFonts w:ascii="仿宋" w:hAnsi="仿宋" w:eastAsia="仿宋" w:cs="仿宋"/>
          <w:sz w:val="32"/>
          <w:szCs w:val="32"/>
        </w:rPr>
      </w:pPr>
    </w:p>
    <w:p>
      <w:pPr>
        <w:spacing w:line="52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南岳区财政局</w:t>
      </w:r>
    </w:p>
    <w:p>
      <w:pPr>
        <w:spacing w:line="52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2022年12月8日</w:t>
      </w:r>
    </w:p>
    <w:p>
      <w:pPr>
        <w:spacing w:line="520" w:lineRule="exact"/>
        <w:rPr>
          <w:rFonts w:ascii="宋体" w:hAnsi="宋体" w:eastAsia="宋体" w:cs="宋体"/>
          <w:sz w:val="30"/>
          <w:szCs w:val="30"/>
        </w:rPr>
      </w:pPr>
    </w:p>
    <w:p>
      <w:pPr>
        <w:spacing w:line="520" w:lineRule="exact"/>
        <w:rPr>
          <w:rFonts w:ascii="宋体" w:hAnsi="宋体" w:eastAsia="宋体" w:cs="宋体"/>
          <w:sz w:val="30"/>
          <w:szCs w:val="30"/>
        </w:rPr>
      </w:pPr>
    </w:p>
    <w:p>
      <w:pPr>
        <w:rPr>
          <w:rFonts w:ascii="宋体" w:hAnsi="宋体" w:eastAsia="宋体" w:cs="宋体"/>
          <w:sz w:val="30"/>
          <w:szCs w:val="30"/>
        </w:rPr>
      </w:pPr>
      <w:r>
        <w:rPr>
          <w:rFonts w:hint="eastAsia" w:ascii="宋体" w:hAnsi="宋体" w:eastAsia="宋体" w:cs="宋体"/>
          <w:sz w:val="30"/>
          <w:szCs w:val="30"/>
        </w:rPr>
        <w:t>附件1</w:t>
      </w:r>
    </w:p>
    <w:p>
      <w:pPr>
        <w:jc w:val="center"/>
        <w:rPr>
          <w:rFonts w:eastAsia="方正小标宋简体"/>
          <w:sz w:val="44"/>
          <w:szCs w:val="44"/>
        </w:rPr>
      </w:pPr>
      <w:r>
        <w:rPr>
          <w:rFonts w:hint="eastAsia" w:eastAsia="方正小标宋简体"/>
          <w:sz w:val="44"/>
          <w:szCs w:val="44"/>
        </w:rPr>
        <w:t>市场服务中心部门整体</w:t>
      </w:r>
      <w:r>
        <w:rPr>
          <w:rFonts w:eastAsia="方正小标宋简体"/>
          <w:sz w:val="44"/>
          <w:szCs w:val="44"/>
        </w:rPr>
        <w:t>支出绩效</w:t>
      </w:r>
      <w:r>
        <w:rPr>
          <w:rFonts w:hint="eastAsia" w:eastAsia="方正小标宋简体"/>
          <w:sz w:val="44"/>
          <w:szCs w:val="44"/>
        </w:rPr>
        <w:t>自评表</w:t>
      </w:r>
    </w:p>
    <w:tbl>
      <w:tblPr>
        <w:tblStyle w:val="7"/>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67"/>
        <w:gridCol w:w="1485"/>
        <w:gridCol w:w="1457"/>
        <w:gridCol w:w="1290"/>
        <w:gridCol w:w="1680"/>
        <w:gridCol w:w="1950"/>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754" w:hRule="atLeast"/>
          <w:jc w:val="center"/>
        </w:trPr>
        <w:tc>
          <w:tcPr>
            <w:tcW w:w="615" w:type="dxa"/>
            <w:vMerge w:val="restart"/>
            <w:textDirection w:val="tbRlV"/>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 </w:t>
            </w:r>
            <w:r>
              <w:rPr>
                <w:rFonts w:ascii="Times New Roman" w:hAnsi="Times New Roman" w:cs="Times New Roman"/>
                <w:bCs/>
                <w:kern w:val="0"/>
                <w:szCs w:val="21"/>
              </w:rPr>
              <w:t>部门</w:t>
            </w:r>
            <w:r>
              <w:rPr>
                <w:rFonts w:ascii="Times New Roman" w:hAnsi="Times New Roman" w:eastAsia="宋体" w:cs="Times New Roman"/>
                <w:bCs/>
                <w:kern w:val="0"/>
                <w:szCs w:val="21"/>
              </w:rPr>
              <w:t>资金</w:t>
            </w:r>
          </w:p>
        </w:tc>
        <w:tc>
          <w:tcPr>
            <w:tcW w:w="2452" w:type="dxa"/>
            <w:gridSpan w:val="2"/>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本年</w:t>
            </w:r>
            <w:r>
              <w:rPr>
                <w:rFonts w:ascii="Times New Roman" w:hAnsi="Times New Roman" w:eastAsia="宋体" w:cs="Times New Roman"/>
                <w:kern w:val="0"/>
                <w:sz w:val="18"/>
                <w:szCs w:val="18"/>
              </w:rPr>
              <w:t xml:space="preserve">                                                  </w:t>
            </w:r>
          </w:p>
        </w:tc>
        <w:tc>
          <w:tcPr>
            <w:tcW w:w="1457" w:type="dxa"/>
            <w:vAlign w:val="center"/>
          </w:tcPr>
          <w:p>
            <w:pPr>
              <w:widowControl/>
              <w:jc w:val="center"/>
              <w:rPr>
                <w:rFonts w:ascii="Times New Roman" w:hAnsi="Times New Roman" w:eastAsia="宋体" w:cs="Times New Roman"/>
                <w:kern w:val="0"/>
                <w:sz w:val="18"/>
                <w:szCs w:val="18"/>
              </w:rPr>
            </w:pPr>
            <w:r>
              <w:rPr>
                <w:rFonts w:ascii="Times New Roman" w:hAnsi="Times New Roman" w:cs="Times New Roman"/>
                <w:kern w:val="0"/>
                <w:sz w:val="18"/>
                <w:szCs w:val="18"/>
              </w:rPr>
              <w:t>年初预算</w:t>
            </w:r>
          </w:p>
        </w:tc>
        <w:tc>
          <w:tcPr>
            <w:tcW w:w="1290" w:type="dxa"/>
            <w:vAlign w:val="center"/>
          </w:tcPr>
          <w:p>
            <w:pPr>
              <w:widowControl/>
              <w:jc w:val="center"/>
              <w:rPr>
                <w:rFonts w:ascii="Times New Roman" w:hAnsi="Times New Roman" w:eastAsia="宋体" w:cs="Times New Roman"/>
                <w:kern w:val="0"/>
                <w:sz w:val="18"/>
                <w:szCs w:val="18"/>
              </w:rPr>
            </w:pPr>
            <w:r>
              <w:rPr>
                <w:rFonts w:ascii="Times New Roman" w:hAnsi="Times New Roman" w:cs="Times New Roman"/>
                <w:kern w:val="0"/>
                <w:sz w:val="18"/>
                <w:szCs w:val="18"/>
              </w:rPr>
              <w:t>预算调整</w:t>
            </w:r>
          </w:p>
        </w:tc>
        <w:tc>
          <w:tcPr>
            <w:tcW w:w="3630" w:type="dxa"/>
            <w:gridSpan w:val="2"/>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全年执行数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continue"/>
            <w:vAlign w:val="center"/>
          </w:tcPr>
          <w:p>
            <w:pPr>
              <w:rPr>
                <w:rFonts w:ascii="Times New Roman" w:hAnsi="Times New Roman" w:cs="Times New Roman"/>
              </w:rPr>
            </w:pPr>
          </w:p>
        </w:tc>
        <w:tc>
          <w:tcPr>
            <w:tcW w:w="2452" w:type="dxa"/>
            <w:gridSpan w:val="2"/>
            <w:vAlign w:val="center"/>
          </w:tcPr>
          <w:p>
            <w:pPr>
              <w:widowControl/>
              <w:jc w:val="center"/>
              <w:rPr>
                <w:rFonts w:ascii="Times New Roman" w:hAnsi="Times New Roman" w:eastAsia="宋体" w:cs="Times New Roman"/>
                <w:kern w:val="0"/>
                <w:sz w:val="18"/>
                <w:szCs w:val="18"/>
              </w:rPr>
            </w:pPr>
            <w:r>
              <w:rPr>
                <w:rFonts w:ascii="Times New Roman" w:hAnsi="Times New Roman" w:cs="Times New Roman"/>
                <w:kern w:val="0"/>
                <w:sz w:val="20"/>
                <w:szCs w:val="20"/>
              </w:rPr>
              <w:t>年度资金总额</w:t>
            </w:r>
          </w:p>
        </w:tc>
        <w:tc>
          <w:tcPr>
            <w:tcW w:w="1457" w:type="dxa"/>
            <w:vAlign w:val="center"/>
          </w:tcPr>
          <w:p>
            <w:pPr>
              <w:widowControl/>
              <w:jc w:val="center"/>
              <w:rPr>
                <w:rFonts w:ascii="Times New Roman" w:hAnsi="Times New Roman" w:eastAsia="宋体" w:cs="Times New Roman"/>
                <w:kern w:val="0"/>
                <w:sz w:val="18"/>
                <w:szCs w:val="18"/>
              </w:rPr>
            </w:pPr>
            <w:r>
              <w:rPr>
                <w:rFonts w:hint="eastAsia" w:ascii="Times New Roman" w:hAnsi="Times New Roman" w:cs="Times New Roman"/>
                <w:kern w:val="0"/>
                <w:sz w:val="18"/>
                <w:szCs w:val="18"/>
              </w:rPr>
              <w:t>158.44</w:t>
            </w:r>
          </w:p>
        </w:tc>
        <w:tc>
          <w:tcPr>
            <w:tcW w:w="1290" w:type="dxa"/>
            <w:vAlign w:val="center"/>
          </w:tcPr>
          <w:p>
            <w:pPr>
              <w:widowControl/>
              <w:jc w:val="right"/>
              <w:rPr>
                <w:rFonts w:ascii="Times New Roman" w:hAnsi="Times New Roman" w:eastAsia="宋体" w:cs="Times New Roman"/>
                <w:kern w:val="0"/>
                <w:sz w:val="18"/>
                <w:szCs w:val="18"/>
              </w:rPr>
            </w:pPr>
          </w:p>
        </w:tc>
        <w:tc>
          <w:tcPr>
            <w:tcW w:w="3630" w:type="dxa"/>
            <w:gridSpan w:val="2"/>
            <w:vAlign w:val="center"/>
          </w:tcPr>
          <w:p>
            <w:pPr>
              <w:widowControl/>
              <w:jc w:val="center"/>
              <w:rPr>
                <w:rFonts w:ascii="Times New Roman" w:hAnsi="Times New Roman" w:eastAsia="宋体" w:cs="Times New Roman"/>
                <w:kern w:val="0"/>
                <w:sz w:val="18"/>
                <w:szCs w:val="18"/>
              </w:rPr>
            </w:pPr>
            <w:r>
              <w:rPr>
                <w:rFonts w:hint="eastAsia" w:cs="Times New Roman"/>
                <w:kern w:val="0"/>
                <w:sz w:val="18"/>
                <w:szCs w:val="18"/>
              </w:rPr>
              <w:t>1625.9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389" w:hRule="atLeast"/>
          <w:jc w:val="center"/>
        </w:trPr>
        <w:tc>
          <w:tcPr>
            <w:tcW w:w="615" w:type="dxa"/>
            <w:vMerge w:val="continue"/>
            <w:vAlign w:val="center"/>
          </w:tcPr>
          <w:p>
            <w:pPr>
              <w:rPr>
                <w:rFonts w:ascii="Times New Roman" w:hAnsi="Times New Roman" w:cs="Times New Roman"/>
              </w:rPr>
            </w:pPr>
          </w:p>
        </w:tc>
        <w:tc>
          <w:tcPr>
            <w:tcW w:w="2452" w:type="dxa"/>
            <w:gridSpan w:val="2"/>
            <w:vAlign w:val="center"/>
          </w:tcPr>
          <w:p>
            <w:pPr>
              <w:widowControl/>
              <w:jc w:val="right"/>
              <w:rPr>
                <w:rFonts w:ascii="Times New Roman" w:hAnsi="Times New Roman" w:eastAsia="宋体" w:cs="Times New Roman"/>
                <w:kern w:val="0"/>
                <w:sz w:val="18"/>
                <w:szCs w:val="18"/>
              </w:rPr>
            </w:pPr>
            <w:r>
              <w:rPr>
                <w:rFonts w:ascii="Times New Roman" w:hAnsi="Times New Roman" w:cs="Times New Roman"/>
                <w:color w:val="000000"/>
                <w:kern w:val="0"/>
                <w:sz w:val="18"/>
                <w:szCs w:val="18"/>
              </w:rPr>
              <w:t>其中：一般公共预算拨款</w:t>
            </w:r>
          </w:p>
        </w:tc>
        <w:tc>
          <w:tcPr>
            <w:tcW w:w="1457" w:type="dxa"/>
            <w:vAlign w:val="center"/>
          </w:tcPr>
          <w:p>
            <w:pPr>
              <w:widowControl/>
              <w:jc w:val="center"/>
              <w:rPr>
                <w:rFonts w:ascii="Times New Roman" w:hAnsi="Times New Roman" w:eastAsia="宋体" w:cs="Times New Roman"/>
                <w:kern w:val="0"/>
                <w:sz w:val="18"/>
                <w:szCs w:val="18"/>
              </w:rPr>
            </w:pPr>
            <w:r>
              <w:rPr>
                <w:rFonts w:hint="eastAsia" w:ascii="Times New Roman" w:hAnsi="Times New Roman" w:cs="Times New Roman"/>
                <w:kern w:val="0"/>
                <w:sz w:val="18"/>
                <w:szCs w:val="18"/>
              </w:rPr>
              <w:t>158.44</w:t>
            </w:r>
          </w:p>
        </w:tc>
        <w:tc>
          <w:tcPr>
            <w:tcW w:w="1290" w:type="dxa"/>
            <w:vAlign w:val="center"/>
          </w:tcPr>
          <w:p>
            <w:pPr>
              <w:widowControl/>
              <w:jc w:val="right"/>
              <w:rPr>
                <w:rFonts w:ascii="Times New Roman" w:hAnsi="Times New Roman" w:eastAsia="宋体" w:cs="Times New Roman"/>
                <w:kern w:val="0"/>
                <w:sz w:val="18"/>
                <w:szCs w:val="18"/>
              </w:rPr>
            </w:pPr>
          </w:p>
        </w:tc>
        <w:tc>
          <w:tcPr>
            <w:tcW w:w="3630" w:type="dxa"/>
            <w:gridSpan w:val="2"/>
            <w:vAlign w:val="center"/>
          </w:tcPr>
          <w:p>
            <w:pPr>
              <w:widowControl/>
              <w:jc w:val="center"/>
              <w:rPr>
                <w:rFonts w:ascii="Times New Roman" w:hAnsi="Times New Roman" w:eastAsia="宋体" w:cs="Times New Roman"/>
                <w:kern w:val="0"/>
                <w:sz w:val="18"/>
                <w:szCs w:val="18"/>
              </w:rPr>
            </w:pPr>
            <w:r>
              <w:rPr>
                <w:rFonts w:hint="eastAsia" w:cs="Times New Roman"/>
                <w:kern w:val="0"/>
                <w:sz w:val="18"/>
                <w:szCs w:val="18"/>
              </w:rPr>
              <w:t>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continue"/>
            <w:vAlign w:val="center"/>
          </w:tcPr>
          <w:p>
            <w:pPr>
              <w:rPr>
                <w:rFonts w:ascii="Times New Roman" w:hAnsi="Times New Roman" w:cs="Times New Roman"/>
              </w:rPr>
            </w:pPr>
          </w:p>
        </w:tc>
        <w:tc>
          <w:tcPr>
            <w:tcW w:w="2452" w:type="dxa"/>
            <w:gridSpan w:val="2"/>
            <w:vAlign w:val="center"/>
          </w:tcPr>
          <w:p>
            <w:pPr>
              <w:widowControl/>
              <w:jc w:val="right"/>
              <w:rPr>
                <w:rFonts w:ascii="Times New Roman" w:hAnsi="Times New Roman" w:eastAsia="宋体" w:cs="Times New Roman"/>
                <w:kern w:val="0"/>
                <w:sz w:val="18"/>
                <w:szCs w:val="18"/>
              </w:rPr>
            </w:pPr>
            <w:r>
              <w:rPr>
                <w:rFonts w:ascii="Times New Roman" w:hAnsi="Times New Roman" w:cs="Times New Roman"/>
                <w:color w:val="000000"/>
                <w:kern w:val="0"/>
                <w:sz w:val="18"/>
                <w:szCs w:val="18"/>
              </w:rPr>
              <w:t xml:space="preserve"> 基金拨款</w:t>
            </w:r>
          </w:p>
        </w:tc>
        <w:tc>
          <w:tcPr>
            <w:tcW w:w="1457" w:type="dxa"/>
            <w:vAlign w:val="center"/>
          </w:tcPr>
          <w:p>
            <w:pPr>
              <w:widowControl/>
              <w:jc w:val="right"/>
              <w:rPr>
                <w:rFonts w:ascii="Times New Roman" w:hAnsi="Times New Roman" w:eastAsia="宋体" w:cs="Times New Roman"/>
                <w:kern w:val="0"/>
                <w:sz w:val="18"/>
                <w:szCs w:val="18"/>
              </w:rPr>
            </w:pPr>
          </w:p>
        </w:tc>
        <w:tc>
          <w:tcPr>
            <w:tcW w:w="1290" w:type="dxa"/>
            <w:vAlign w:val="center"/>
          </w:tcPr>
          <w:p>
            <w:pPr>
              <w:widowControl/>
              <w:jc w:val="right"/>
              <w:rPr>
                <w:rFonts w:ascii="Times New Roman" w:hAnsi="Times New Roman" w:eastAsia="宋体" w:cs="Times New Roman"/>
                <w:kern w:val="0"/>
                <w:sz w:val="18"/>
                <w:szCs w:val="18"/>
              </w:rPr>
            </w:pPr>
          </w:p>
        </w:tc>
        <w:tc>
          <w:tcPr>
            <w:tcW w:w="3630" w:type="dxa"/>
            <w:gridSpan w:val="2"/>
            <w:vAlign w:val="center"/>
          </w:tcPr>
          <w:p>
            <w:pPr>
              <w:widowControl/>
              <w:jc w:val="right"/>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continue"/>
            <w:textDirection w:val="tbRlV"/>
            <w:vAlign w:val="center"/>
          </w:tcPr>
          <w:p>
            <w:pPr>
              <w:widowControl/>
              <w:rPr>
                <w:rFonts w:ascii="Times New Roman" w:hAnsi="Times New Roman" w:eastAsia="宋体" w:cs="Times New Roman"/>
                <w:bCs/>
                <w:kern w:val="0"/>
                <w:szCs w:val="21"/>
              </w:rPr>
            </w:pPr>
          </w:p>
        </w:tc>
        <w:tc>
          <w:tcPr>
            <w:tcW w:w="2452" w:type="dxa"/>
            <w:gridSpan w:val="2"/>
            <w:vAlign w:val="center"/>
          </w:tcPr>
          <w:p>
            <w:pPr>
              <w:widowControl/>
              <w:jc w:val="right"/>
              <w:rPr>
                <w:rFonts w:ascii="Times New Roman" w:hAnsi="Times New Roman" w:eastAsia="宋体" w:cs="Times New Roman"/>
                <w:color w:val="000000"/>
                <w:kern w:val="0"/>
                <w:sz w:val="18"/>
                <w:szCs w:val="18"/>
              </w:rPr>
            </w:pPr>
            <w:r>
              <w:rPr>
                <w:rFonts w:ascii="Times New Roman" w:hAnsi="Times New Roman" w:cs="Times New Roman"/>
                <w:color w:val="000000"/>
                <w:kern w:val="0"/>
                <w:sz w:val="18"/>
                <w:szCs w:val="18"/>
              </w:rPr>
              <w:t>其他资金</w:t>
            </w:r>
          </w:p>
        </w:tc>
        <w:tc>
          <w:tcPr>
            <w:tcW w:w="1457" w:type="dxa"/>
            <w:vAlign w:val="center"/>
          </w:tcPr>
          <w:p>
            <w:pPr>
              <w:widowControl/>
              <w:jc w:val="center"/>
              <w:rPr>
                <w:rFonts w:ascii="Times New Roman" w:hAnsi="Times New Roman" w:eastAsia="宋体" w:cs="Times New Roman"/>
                <w:color w:val="000000"/>
                <w:kern w:val="0"/>
                <w:sz w:val="18"/>
                <w:szCs w:val="18"/>
              </w:rPr>
            </w:pPr>
          </w:p>
        </w:tc>
        <w:tc>
          <w:tcPr>
            <w:tcW w:w="1290" w:type="dxa"/>
            <w:vAlign w:val="center"/>
          </w:tcPr>
          <w:p>
            <w:pPr>
              <w:widowControl/>
              <w:jc w:val="right"/>
              <w:rPr>
                <w:rFonts w:ascii="Times New Roman" w:hAnsi="Times New Roman" w:eastAsia="宋体" w:cs="Times New Roman"/>
                <w:color w:val="000000"/>
                <w:kern w:val="0"/>
                <w:sz w:val="18"/>
                <w:szCs w:val="18"/>
              </w:rPr>
            </w:pPr>
          </w:p>
        </w:tc>
        <w:tc>
          <w:tcPr>
            <w:tcW w:w="3630" w:type="dxa"/>
            <w:gridSpan w:val="2"/>
            <w:vAlign w:val="center"/>
          </w:tcPr>
          <w:p>
            <w:pPr>
              <w:widowControl/>
              <w:jc w:val="center"/>
              <w:rPr>
                <w:rFonts w:ascii="Times New Roman" w:hAnsi="Times New Roman" w:eastAsia="宋体" w:cs="Times New Roman"/>
                <w:color w:val="000000"/>
                <w:kern w:val="0"/>
                <w:sz w:val="18"/>
                <w:szCs w:val="18"/>
              </w:rPr>
            </w:pPr>
            <w:r>
              <w:rPr>
                <w:rFonts w:hint="eastAsia" w:cs="Times New Roman"/>
                <w:color w:val="000000"/>
                <w:kern w:val="0"/>
                <w:sz w:val="18"/>
                <w:szCs w:val="18"/>
              </w:rPr>
              <w:t>1410.8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restart"/>
            <w:textDirection w:val="tbRlV"/>
            <w:vAlign w:val="center"/>
          </w:tcPr>
          <w:p>
            <w:pPr>
              <w:widowControl/>
              <w:jc w:val="center"/>
              <w:rPr>
                <w:rFonts w:ascii="Times New Roman" w:hAnsi="Times New Roman" w:cs="Times New Roman"/>
                <w:b/>
                <w:bCs/>
                <w:kern w:val="0"/>
                <w:sz w:val="26"/>
                <w:szCs w:val="26"/>
              </w:rPr>
            </w:pPr>
            <w:r>
              <w:rPr>
                <w:rFonts w:ascii="Times New Roman" w:hAnsi="Times New Roman" w:eastAsia="宋体" w:cs="Times New Roman"/>
                <w:bCs/>
                <w:kern w:val="0"/>
                <w:szCs w:val="21"/>
              </w:rPr>
              <w:t>绩效</w:t>
            </w:r>
            <w:r>
              <w:rPr>
                <w:rFonts w:ascii="Times New Roman" w:hAnsi="Times New Roman" w:cs="Times New Roman"/>
                <w:bCs/>
                <w:kern w:val="0"/>
                <w:szCs w:val="21"/>
              </w:rPr>
              <w:t>指标</w:t>
            </w:r>
          </w:p>
        </w:tc>
        <w:tc>
          <w:tcPr>
            <w:tcW w:w="967" w:type="dxa"/>
            <w:vAlign w:val="center"/>
          </w:tcPr>
          <w:p>
            <w:pPr>
              <w:widowControl/>
              <w:spacing w:line="260" w:lineRule="exact"/>
              <w:jc w:val="center"/>
              <w:rPr>
                <w:rFonts w:ascii="Times New Roman" w:hAnsi="Times New Roman" w:eastAsia="宋体" w:cs="Times New Roman"/>
                <w:bCs/>
                <w:kern w:val="0"/>
                <w:sz w:val="18"/>
                <w:szCs w:val="18"/>
              </w:rPr>
            </w:pPr>
            <w:r>
              <w:rPr>
                <w:rFonts w:ascii="Times New Roman" w:hAnsi="Times New Roman" w:cs="Times New Roman"/>
                <w:bCs/>
                <w:kern w:val="0"/>
                <w:sz w:val="18"/>
                <w:szCs w:val="18"/>
              </w:rPr>
              <w:t>一级指标</w:t>
            </w:r>
          </w:p>
        </w:tc>
        <w:tc>
          <w:tcPr>
            <w:tcW w:w="1485" w:type="dxa"/>
            <w:vAlign w:val="center"/>
          </w:tcPr>
          <w:p>
            <w:pPr>
              <w:widowControl/>
              <w:spacing w:line="260" w:lineRule="exact"/>
              <w:jc w:val="center"/>
              <w:rPr>
                <w:rFonts w:ascii="Times New Roman" w:hAnsi="Times New Roman" w:eastAsia="宋体" w:cs="Times New Roman"/>
                <w:bCs/>
                <w:kern w:val="0"/>
                <w:sz w:val="18"/>
                <w:szCs w:val="18"/>
              </w:rPr>
            </w:pPr>
            <w:r>
              <w:rPr>
                <w:rFonts w:ascii="Times New Roman" w:hAnsi="Times New Roman" w:cs="Times New Roman"/>
                <w:bCs/>
                <w:kern w:val="0"/>
                <w:sz w:val="18"/>
                <w:szCs w:val="18"/>
              </w:rPr>
              <w:t>二级指标</w:t>
            </w:r>
          </w:p>
        </w:tc>
        <w:tc>
          <w:tcPr>
            <w:tcW w:w="2747" w:type="dxa"/>
            <w:gridSpan w:val="2"/>
            <w:vAlign w:val="center"/>
          </w:tcPr>
          <w:p>
            <w:pPr>
              <w:widowControl/>
              <w:spacing w:line="260" w:lineRule="exact"/>
              <w:jc w:val="center"/>
              <w:rPr>
                <w:rFonts w:ascii="Times New Roman" w:hAnsi="Times New Roman" w:eastAsia="宋体" w:cs="Times New Roman"/>
                <w:bCs/>
                <w:kern w:val="0"/>
                <w:sz w:val="18"/>
                <w:szCs w:val="18"/>
              </w:rPr>
            </w:pPr>
            <w:r>
              <w:rPr>
                <w:rFonts w:ascii="Times New Roman" w:hAnsi="Times New Roman" w:cs="Times New Roman"/>
                <w:bCs/>
                <w:kern w:val="0"/>
                <w:sz w:val="18"/>
                <w:szCs w:val="18"/>
              </w:rPr>
              <w:t>三级指标</w:t>
            </w:r>
          </w:p>
        </w:tc>
        <w:tc>
          <w:tcPr>
            <w:tcW w:w="1680" w:type="dxa"/>
            <w:vAlign w:val="center"/>
          </w:tcPr>
          <w:p>
            <w:pPr>
              <w:widowControl/>
              <w:spacing w:line="280" w:lineRule="exact"/>
              <w:jc w:val="center"/>
              <w:rPr>
                <w:rFonts w:ascii="Times New Roman" w:hAnsi="Times New Roman" w:eastAsia="宋体" w:cs="Times New Roman"/>
                <w:bCs/>
                <w:kern w:val="0"/>
                <w:sz w:val="18"/>
                <w:szCs w:val="18"/>
              </w:rPr>
            </w:pPr>
            <w:r>
              <w:rPr>
                <w:rFonts w:ascii="Times New Roman" w:hAnsi="Times New Roman" w:cs="Times New Roman"/>
                <w:bCs/>
                <w:kern w:val="0"/>
                <w:sz w:val="18"/>
                <w:szCs w:val="18"/>
              </w:rPr>
              <w:t>全年预计完成情况</w:t>
            </w:r>
          </w:p>
        </w:tc>
        <w:tc>
          <w:tcPr>
            <w:tcW w:w="1950" w:type="dxa"/>
            <w:vAlign w:val="center"/>
          </w:tcPr>
          <w:p>
            <w:pPr>
              <w:widowControl/>
              <w:spacing w:line="30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continue"/>
            <w:vAlign w:val="center"/>
          </w:tcPr>
          <w:p>
            <w:pPr>
              <w:rPr>
                <w:rFonts w:ascii="Times New Roman" w:hAnsi="Times New Roman" w:cs="Times New Roman"/>
              </w:rPr>
            </w:pPr>
          </w:p>
        </w:tc>
        <w:tc>
          <w:tcPr>
            <w:tcW w:w="967" w:type="dxa"/>
            <w:vMerge w:val="restart"/>
            <w:vAlign w:val="center"/>
          </w:tcPr>
          <w:p>
            <w:pPr>
              <w:widowControl/>
              <w:jc w:val="center"/>
              <w:rPr>
                <w:rFonts w:ascii="Times New Roman" w:hAnsi="Times New Roman" w:eastAsia="宋体" w:cs="Times New Roman"/>
                <w:kern w:val="0"/>
                <w:sz w:val="18"/>
                <w:szCs w:val="18"/>
              </w:rPr>
            </w:pPr>
            <w:r>
              <w:rPr>
                <w:rFonts w:ascii="Times New Roman" w:hAnsi="Times New Roman" w:cs="Times New Roman"/>
                <w:kern w:val="0"/>
                <w:sz w:val="18"/>
                <w:szCs w:val="18"/>
              </w:rPr>
              <w:t>产出指标</w:t>
            </w:r>
          </w:p>
        </w:tc>
        <w:tc>
          <w:tcPr>
            <w:tcW w:w="1485" w:type="dxa"/>
            <w:vMerge w:val="restart"/>
            <w:vAlign w:val="center"/>
          </w:tcPr>
          <w:p>
            <w:pPr>
              <w:widowControl/>
              <w:jc w:val="center"/>
              <w:rPr>
                <w:rFonts w:ascii="Times New Roman" w:hAnsi="Times New Roman" w:eastAsia="宋体" w:cs="Times New Roman"/>
                <w:kern w:val="0"/>
                <w:sz w:val="18"/>
                <w:szCs w:val="18"/>
              </w:rPr>
            </w:pPr>
            <w:r>
              <w:rPr>
                <w:rFonts w:ascii="Times New Roman" w:hAnsi="Times New Roman" w:cs="Times New Roman"/>
                <w:kern w:val="0"/>
                <w:sz w:val="18"/>
                <w:szCs w:val="18"/>
              </w:rPr>
              <w:t>产出数量★</w:t>
            </w:r>
          </w:p>
        </w:tc>
        <w:tc>
          <w:tcPr>
            <w:tcW w:w="2747" w:type="dxa"/>
            <w:gridSpan w:val="2"/>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3个市场运营管理面积</w:t>
            </w:r>
          </w:p>
        </w:tc>
        <w:tc>
          <w:tcPr>
            <w:tcW w:w="1680" w:type="dxa"/>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=13400平方米</w:t>
            </w:r>
          </w:p>
        </w:tc>
        <w:tc>
          <w:tcPr>
            <w:tcW w:w="1950" w:type="dxa"/>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=13400平方米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821" w:hRule="atLeast"/>
          <w:jc w:val="center"/>
        </w:trPr>
        <w:tc>
          <w:tcPr>
            <w:tcW w:w="615" w:type="dxa"/>
            <w:vMerge w:val="continue"/>
            <w:vAlign w:val="center"/>
          </w:tcPr>
          <w:p>
            <w:pPr>
              <w:rPr>
                <w:rFonts w:ascii="Times New Roman" w:hAnsi="Times New Roman" w:cs="Times New Roman"/>
              </w:rPr>
            </w:pPr>
          </w:p>
        </w:tc>
        <w:tc>
          <w:tcPr>
            <w:tcW w:w="967" w:type="dxa"/>
            <w:vMerge w:val="continue"/>
            <w:vAlign w:val="center"/>
          </w:tcPr>
          <w:p>
            <w:pPr>
              <w:widowControl/>
              <w:jc w:val="center"/>
              <w:rPr>
                <w:rFonts w:ascii="Times New Roman" w:hAnsi="Times New Roman" w:eastAsia="宋体" w:cs="Times New Roman"/>
                <w:kern w:val="0"/>
                <w:sz w:val="18"/>
                <w:szCs w:val="18"/>
              </w:rPr>
            </w:pPr>
          </w:p>
        </w:tc>
        <w:tc>
          <w:tcPr>
            <w:tcW w:w="1485" w:type="dxa"/>
            <w:vMerge w:val="continue"/>
            <w:vAlign w:val="center"/>
          </w:tcPr>
          <w:p>
            <w:pPr>
              <w:widowControl/>
              <w:jc w:val="center"/>
              <w:rPr>
                <w:rFonts w:ascii="Times New Roman" w:hAnsi="Times New Roman" w:cs="Times New Roman"/>
                <w:kern w:val="0"/>
                <w:sz w:val="18"/>
                <w:szCs w:val="18"/>
              </w:rPr>
            </w:pPr>
          </w:p>
        </w:tc>
        <w:tc>
          <w:tcPr>
            <w:tcW w:w="2747" w:type="dxa"/>
            <w:gridSpan w:val="2"/>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市场功能区划分</w:t>
            </w:r>
          </w:p>
        </w:tc>
        <w:tc>
          <w:tcPr>
            <w:tcW w:w="1680" w:type="dxa"/>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两个农贸市场水产区、家禽区、自产自销区等</w:t>
            </w:r>
          </w:p>
        </w:tc>
        <w:tc>
          <w:tcPr>
            <w:tcW w:w="1950" w:type="dxa"/>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两个农贸市场水产区、家禽区、自产自销区等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2960" w:hRule="atLeast"/>
          <w:jc w:val="center"/>
        </w:trPr>
        <w:tc>
          <w:tcPr>
            <w:tcW w:w="615" w:type="dxa"/>
            <w:vMerge w:val="continue"/>
            <w:vAlign w:val="center"/>
          </w:tcPr>
          <w:p>
            <w:pPr>
              <w:rPr>
                <w:rFonts w:ascii="Times New Roman" w:hAnsi="Times New Roman" w:cs="Times New Roman"/>
              </w:rPr>
            </w:pPr>
          </w:p>
        </w:tc>
        <w:tc>
          <w:tcPr>
            <w:tcW w:w="967" w:type="dxa"/>
            <w:vMerge w:val="continue"/>
            <w:vAlign w:val="center"/>
          </w:tcPr>
          <w:p>
            <w:pPr>
              <w:widowControl/>
              <w:jc w:val="center"/>
              <w:rPr>
                <w:rFonts w:ascii="Times New Roman" w:hAnsi="Times New Roman" w:eastAsia="宋体" w:cs="Times New Roman"/>
                <w:kern w:val="0"/>
                <w:sz w:val="18"/>
                <w:szCs w:val="18"/>
              </w:rPr>
            </w:pPr>
          </w:p>
        </w:tc>
        <w:tc>
          <w:tcPr>
            <w:tcW w:w="1485" w:type="dxa"/>
            <w:vMerge w:val="continue"/>
            <w:vAlign w:val="center"/>
          </w:tcPr>
          <w:p>
            <w:pPr>
              <w:widowControl/>
              <w:jc w:val="center"/>
              <w:rPr>
                <w:rFonts w:ascii="Times New Roman" w:hAnsi="Times New Roman" w:cs="Times New Roman"/>
                <w:kern w:val="0"/>
                <w:sz w:val="18"/>
                <w:szCs w:val="18"/>
              </w:rPr>
            </w:pPr>
          </w:p>
        </w:tc>
        <w:tc>
          <w:tcPr>
            <w:tcW w:w="2747" w:type="dxa"/>
            <w:gridSpan w:val="2"/>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集贸市场整治指标</w:t>
            </w:r>
          </w:p>
        </w:tc>
        <w:tc>
          <w:tcPr>
            <w:tcW w:w="1680" w:type="dxa"/>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清理违规物品、大件堆物和垃圾130车≥80余吨，规范商品摆放≥400余起，拆除各类乱摆乱设摊位≥200个，拆除违规雨棚50余户，≥180家门店规范经营。</w:t>
            </w:r>
          </w:p>
        </w:tc>
        <w:tc>
          <w:tcPr>
            <w:tcW w:w="1950" w:type="dxa"/>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清理违规物品、大件堆物和垃圾130车≥80余吨，规范商品摆放≥400余起，拆除各类乱摆乱设摊位≥200个，拆除违规雨棚50余户，≥180家门店规范经营。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90" w:hRule="atLeast"/>
          <w:jc w:val="center"/>
        </w:trPr>
        <w:tc>
          <w:tcPr>
            <w:tcW w:w="615" w:type="dxa"/>
            <w:vMerge w:val="continue"/>
            <w:vAlign w:val="center"/>
          </w:tcPr>
          <w:p>
            <w:pPr>
              <w:rPr>
                <w:rFonts w:ascii="Times New Roman" w:hAnsi="Times New Roman" w:cs="Times New Roman"/>
              </w:rPr>
            </w:pPr>
          </w:p>
        </w:tc>
        <w:tc>
          <w:tcPr>
            <w:tcW w:w="967" w:type="dxa"/>
            <w:vMerge w:val="continue"/>
            <w:vAlign w:val="center"/>
          </w:tcPr>
          <w:p>
            <w:pPr>
              <w:widowControl/>
              <w:jc w:val="center"/>
              <w:rPr>
                <w:rFonts w:ascii="Times New Roman" w:hAnsi="Times New Roman" w:eastAsia="宋体" w:cs="Times New Roman"/>
                <w:kern w:val="0"/>
                <w:sz w:val="18"/>
                <w:szCs w:val="18"/>
              </w:rPr>
            </w:pPr>
          </w:p>
        </w:tc>
        <w:tc>
          <w:tcPr>
            <w:tcW w:w="1485" w:type="dxa"/>
            <w:vMerge w:val="continue"/>
            <w:vAlign w:val="center"/>
          </w:tcPr>
          <w:p>
            <w:pPr>
              <w:widowControl/>
              <w:jc w:val="center"/>
              <w:rPr>
                <w:rFonts w:ascii="Times New Roman" w:hAnsi="Times New Roman" w:cs="Times New Roman"/>
                <w:kern w:val="0"/>
                <w:sz w:val="18"/>
                <w:szCs w:val="18"/>
              </w:rPr>
            </w:pPr>
          </w:p>
        </w:tc>
        <w:tc>
          <w:tcPr>
            <w:tcW w:w="2747" w:type="dxa"/>
            <w:gridSpan w:val="2"/>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规范赶集指标</w:t>
            </w:r>
          </w:p>
        </w:tc>
        <w:tc>
          <w:tcPr>
            <w:tcW w:w="1680" w:type="dxa"/>
            <w:vAlign w:val="center"/>
          </w:tcPr>
          <w:p>
            <w:pPr>
              <w:widowControl/>
              <w:jc w:val="center"/>
              <w:rPr>
                <w:rFonts w:ascii="Times New Roman" w:hAnsi="Times New Roman" w:eastAsia="宋体" w:cs="Times New Roman"/>
                <w:kern w:val="0"/>
                <w:sz w:val="18"/>
                <w:szCs w:val="18"/>
              </w:rPr>
            </w:pPr>
            <w:r>
              <w:rPr>
                <w:rFonts w:hint="eastAsia" w:ascii="宋体" w:hAnsi="宋体" w:eastAsia="宋体" w:cs="宋体"/>
                <w:color w:val="000000"/>
                <w:kern w:val="0"/>
                <w:sz w:val="20"/>
                <w:szCs w:val="20"/>
              </w:rPr>
              <w:t>开展≥72场、取缔商贩强占场地行为≥416起，调解矛盾纠纷≤208次，为60岁以上自产自销老人安排场地≥410人次，受理处理投诉≤116起，查处短斤少两行为≤156起，取缔</w:t>
            </w:r>
            <w:r>
              <w:rPr>
                <w:rFonts w:hint="eastAsia" w:ascii="宋体" w:hAnsi="宋体" w:eastAsia="宋体" w:cs="宋体"/>
                <w:color w:val="000000"/>
                <w:kern w:val="0"/>
                <w:sz w:val="20"/>
                <w:szCs w:val="20"/>
                <w:lang w:eastAsia="zh-CN"/>
              </w:rPr>
              <w:t>哄抬物价</w:t>
            </w:r>
            <w:r>
              <w:rPr>
                <w:rFonts w:hint="eastAsia" w:ascii="宋体" w:hAnsi="宋体" w:eastAsia="宋体" w:cs="宋体"/>
                <w:color w:val="000000"/>
                <w:kern w:val="0"/>
                <w:sz w:val="20"/>
                <w:szCs w:val="20"/>
              </w:rPr>
              <w:t>行为≥</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起</w:t>
            </w:r>
          </w:p>
        </w:tc>
        <w:tc>
          <w:tcPr>
            <w:tcW w:w="1950" w:type="dxa"/>
            <w:vAlign w:val="center"/>
          </w:tcPr>
          <w:p>
            <w:pPr>
              <w:widowControl/>
              <w:jc w:val="center"/>
              <w:rPr>
                <w:rFonts w:ascii="Times New Roman" w:hAnsi="Times New Roman" w:eastAsia="宋体" w:cs="Times New Roman"/>
                <w:kern w:val="0"/>
                <w:sz w:val="18"/>
                <w:szCs w:val="18"/>
              </w:rPr>
            </w:pPr>
            <w:r>
              <w:rPr>
                <w:rFonts w:hint="eastAsia" w:ascii="宋体" w:hAnsi="宋体" w:eastAsia="宋体" w:cs="宋体"/>
                <w:color w:val="000000"/>
                <w:kern w:val="0"/>
                <w:sz w:val="20"/>
                <w:szCs w:val="20"/>
              </w:rPr>
              <w:t>开展≥72场、取缔商贩强占场地行为≥416起，调解矛盾纠纷≤208次，为60岁以上自产自销老人安排场地≥410人次，受理处理投诉≤116起，查处短斤少两行为≤156起，取缔</w:t>
            </w:r>
            <w:r>
              <w:rPr>
                <w:rFonts w:hint="eastAsia" w:ascii="宋体" w:hAnsi="宋体" w:eastAsia="宋体" w:cs="宋体"/>
                <w:color w:val="000000"/>
                <w:kern w:val="0"/>
                <w:sz w:val="20"/>
                <w:szCs w:val="20"/>
                <w:lang w:eastAsia="zh-CN"/>
              </w:rPr>
              <w:t>哄抬物价</w:t>
            </w:r>
            <w:r>
              <w:rPr>
                <w:rFonts w:hint="eastAsia" w:ascii="宋体" w:hAnsi="宋体" w:eastAsia="宋体" w:cs="宋体"/>
                <w:color w:val="000000"/>
                <w:kern w:val="0"/>
                <w:sz w:val="20"/>
                <w:szCs w:val="20"/>
              </w:rPr>
              <w:t>行为≥</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continue"/>
            <w:vAlign w:val="center"/>
          </w:tcPr>
          <w:p>
            <w:pPr>
              <w:rPr>
                <w:rFonts w:ascii="Times New Roman" w:hAnsi="Times New Roman" w:cs="Times New Roman"/>
              </w:rPr>
            </w:pPr>
          </w:p>
        </w:tc>
        <w:tc>
          <w:tcPr>
            <w:tcW w:w="967" w:type="dxa"/>
            <w:vMerge w:val="continue"/>
            <w:vAlign w:val="center"/>
          </w:tcPr>
          <w:p>
            <w:pPr>
              <w:widowControl/>
              <w:jc w:val="center"/>
              <w:rPr>
                <w:rFonts w:ascii="Times New Roman" w:hAnsi="Times New Roman" w:eastAsia="宋体" w:cs="Times New Roman"/>
                <w:kern w:val="0"/>
                <w:sz w:val="18"/>
                <w:szCs w:val="18"/>
              </w:rPr>
            </w:pPr>
          </w:p>
        </w:tc>
        <w:tc>
          <w:tcPr>
            <w:tcW w:w="1485" w:type="dxa"/>
            <w:vMerge w:val="restart"/>
            <w:vAlign w:val="center"/>
          </w:tcPr>
          <w:p>
            <w:pPr>
              <w:widowControl/>
              <w:jc w:val="center"/>
              <w:rPr>
                <w:rFonts w:ascii="Times New Roman" w:hAnsi="Times New Roman" w:eastAsia="宋体" w:cs="Times New Roman"/>
                <w:kern w:val="0"/>
                <w:sz w:val="18"/>
                <w:szCs w:val="18"/>
              </w:rPr>
            </w:pPr>
            <w:r>
              <w:rPr>
                <w:rFonts w:ascii="Times New Roman" w:hAnsi="Times New Roman" w:cs="Times New Roman"/>
                <w:kern w:val="0"/>
                <w:sz w:val="18"/>
                <w:szCs w:val="18"/>
              </w:rPr>
              <w:t>产出质量★</w:t>
            </w:r>
          </w:p>
        </w:tc>
        <w:tc>
          <w:tcPr>
            <w:tcW w:w="2747" w:type="dxa"/>
            <w:gridSpan w:val="2"/>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市场功能区提质升级</w:t>
            </w:r>
          </w:p>
        </w:tc>
        <w:tc>
          <w:tcPr>
            <w:tcW w:w="1680" w:type="dxa"/>
            <w:vAlign w:val="center"/>
          </w:tcPr>
          <w:p>
            <w:pPr>
              <w:widowControl/>
              <w:jc w:val="center"/>
              <w:rPr>
                <w:rFonts w:ascii="Times New Roman" w:hAnsi="Times New Roman" w:eastAsia="宋体" w:cs="Times New Roman"/>
                <w:kern w:val="0"/>
                <w:sz w:val="18"/>
                <w:szCs w:val="18"/>
              </w:rPr>
            </w:pPr>
            <w:r>
              <w:rPr>
                <w:rFonts w:hint="eastAsia" w:ascii="Times New Roman" w:hAnsi="Times New Roman" w:cs="Times New Roman"/>
                <w:kern w:val="0"/>
                <w:sz w:val="18"/>
                <w:szCs w:val="18"/>
              </w:rPr>
              <w:t>增强</w:t>
            </w:r>
          </w:p>
        </w:tc>
        <w:tc>
          <w:tcPr>
            <w:tcW w:w="1950" w:type="dxa"/>
            <w:vAlign w:val="center"/>
          </w:tcPr>
          <w:p>
            <w:pPr>
              <w:widowControl/>
              <w:jc w:val="center"/>
              <w:rPr>
                <w:rFonts w:ascii="Times New Roman" w:hAnsi="Times New Roman" w:eastAsia="宋体" w:cs="Times New Roman"/>
                <w:kern w:val="0"/>
                <w:sz w:val="18"/>
                <w:szCs w:val="18"/>
              </w:rPr>
            </w:pPr>
            <w:r>
              <w:rPr>
                <w:rFonts w:hint="eastAsia" w:ascii="Times New Roman" w:hAnsi="Times New Roman" w:cs="Times New Roman"/>
                <w:kern w:val="0"/>
                <w:sz w:val="18"/>
                <w:szCs w:val="18"/>
              </w:rPr>
              <w:t>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continue"/>
            <w:vAlign w:val="center"/>
          </w:tcPr>
          <w:p>
            <w:pPr>
              <w:rPr>
                <w:rFonts w:ascii="Times New Roman" w:hAnsi="Times New Roman" w:cs="Times New Roman"/>
              </w:rPr>
            </w:pPr>
          </w:p>
        </w:tc>
        <w:tc>
          <w:tcPr>
            <w:tcW w:w="967" w:type="dxa"/>
            <w:vMerge w:val="continue"/>
            <w:vAlign w:val="center"/>
          </w:tcPr>
          <w:p>
            <w:pPr>
              <w:widowControl/>
              <w:jc w:val="center"/>
              <w:rPr>
                <w:rFonts w:ascii="Times New Roman" w:hAnsi="Times New Roman" w:eastAsia="宋体" w:cs="Times New Roman"/>
                <w:kern w:val="0"/>
                <w:sz w:val="18"/>
                <w:szCs w:val="18"/>
              </w:rPr>
            </w:pPr>
          </w:p>
        </w:tc>
        <w:tc>
          <w:tcPr>
            <w:tcW w:w="1485" w:type="dxa"/>
            <w:vMerge w:val="continue"/>
            <w:vAlign w:val="center"/>
          </w:tcPr>
          <w:p>
            <w:pPr>
              <w:widowControl/>
              <w:jc w:val="center"/>
              <w:rPr>
                <w:rFonts w:ascii="Times New Roman" w:hAnsi="Times New Roman" w:eastAsia="宋体" w:cs="Times New Roman"/>
                <w:kern w:val="0"/>
                <w:sz w:val="18"/>
                <w:szCs w:val="18"/>
              </w:rPr>
            </w:pPr>
          </w:p>
        </w:tc>
        <w:tc>
          <w:tcPr>
            <w:tcW w:w="2747" w:type="dxa"/>
            <w:gridSpan w:val="2"/>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基础设施维修维护达标率</w:t>
            </w:r>
          </w:p>
        </w:tc>
        <w:tc>
          <w:tcPr>
            <w:tcW w:w="1680" w:type="dxa"/>
            <w:vAlign w:val="center"/>
          </w:tcPr>
          <w:p>
            <w:pPr>
              <w:widowControl/>
              <w:jc w:val="center"/>
              <w:rPr>
                <w:rFonts w:ascii="Times New Roman" w:hAnsi="Times New Roman" w:eastAsia="宋体" w:cs="Times New Roman"/>
                <w:kern w:val="0"/>
                <w:sz w:val="18"/>
                <w:szCs w:val="18"/>
              </w:rPr>
            </w:pPr>
            <w:r>
              <w:rPr>
                <w:rFonts w:hint="eastAsia" w:ascii="Times New Roman" w:hAnsi="Times New Roman" w:cs="Times New Roman"/>
                <w:kern w:val="0"/>
                <w:sz w:val="18"/>
                <w:szCs w:val="18"/>
              </w:rPr>
              <w:t>100%</w:t>
            </w:r>
          </w:p>
        </w:tc>
        <w:tc>
          <w:tcPr>
            <w:tcW w:w="1950" w:type="dxa"/>
            <w:vAlign w:val="center"/>
          </w:tcPr>
          <w:p>
            <w:pPr>
              <w:widowControl/>
              <w:jc w:val="center"/>
              <w:rPr>
                <w:rFonts w:ascii="Times New Roman" w:hAnsi="Times New Roman" w:eastAsia="宋体" w:cs="Times New Roman"/>
                <w:kern w:val="0"/>
                <w:sz w:val="18"/>
                <w:szCs w:val="18"/>
              </w:rPr>
            </w:pPr>
            <w:r>
              <w:rPr>
                <w:rFonts w:hint="eastAsia" w:ascii="Times New Roman" w:hAnsi="Times New Roman" w:cs="Times New Roman"/>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continue"/>
            <w:vAlign w:val="center"/>
          </w:tcPr>
          <w:p>
            <w:pPr>
              <w:rPr>
                <w:rFonts w:ascii="Times New Roman" w:hAnsi="Times New Roman" w:cs="Times New Roman"/>
              </w:rPr>
            </w:pPr>
          </w:p>
        </w:tc>
        <w:tc>
          <w:tcPr>
            <w:tcW w:w="967" w:type="dxa"/>
            <w:vMerge w:val="continue"/>
            <w:vAlign w:val="center"/>
          </w:tcPr>
          <w:p>
            <w:pPr>
              <w:widowControl/>
              <w:rPr>
                <w:rFonts w:ascii="Times New Roman" w:hAnsi="Times New Roman" w:eastAsia="宋体" w:cs="Times New Roman"/>
                <w:kern w:val="0"/>
                <w:sz w:val="18"/>
                <w:szCs w:val="18"/>
              </w:rPr>
            </w:pPr>
          </w:p>
        </w:tc>
        <w:tc>
          <w:tcPr>
            <w:tcW w:w="2942" w:type="dxa"/>
            <w:gridSpan w:val="2"/>
            <w:vAlign w:val="center"/>
          </w:tcPr>
          <w:p>
            <w:pPr>
              <w:widowControl/>
              <w:jc w:val="center"/>
              <w:rPr>
                <w:rFonts w:ascii="Times New Roman" w:hAnsi="Times New Roman" w:eastAsia="宋体" w:cs="Times New Roman"/>
                <w:kern w:val="0"/>
                <w:sz w:val="18"/>
                <w:szCs w:val="18"/>
              </w:rPr>
            </w:pPr>
          </w:p>
        </w:tc>
        <w:tc>
          <w:tcPr>
            <w:tcW w:w="1290" w:type="dxa"/>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垃圾处理达标率</w:t>
            </w:r>
          </w:p>
        </w:tc>
        <w:tc>
          <w:tcPr>
            <w:tcW w:w="1680" w:type="dxa"/>
            <w:vAlign w:val="center"/>
          </w:tcPr>
          <w:p>
            <w:pPr>
              <w:widowControl/>
              <w:jc w:val="center"/>
              <w:rPr>
                <w:rFonts w:ascii="Times New Roman" w:hAnsi="Times New Roman" w:eastAsia="宋体" w:cs="Times New Roman"/>
                <w:kern w:val="0"/>
                <w:sz w:val="18"/>
                <w:szCs w:val="18"/>
              </w:rPr>
            </w:pPr>
            <w:r>
              <w:rPr>
                <w:rFonts w:hint="eastAsia" w:ascii="Times New Roman" w:hAnsi="Times New Roman" w:cs="Times New Roman"/>
                <w:kern w:val="0"/>
                <w:sz w:val="18"/>
                <w:szCs w:val="18"/>
              </w:rPr>
              <w:t>100%</w:t>
            </w:r>
          </w:p>
        </w:tc>
        <w:tc>
          <w:tcPr>
            <w:tcW w:w="1950" w:type="dxa"/>
            <w:vAlign w:val="center"/>
          </w:tcPr>
          <w:p>
            <w:pPr>
              <w:widowControl/>
              <w:jc w:val="center"/>
              <w:rPr>
                <w:rFonts w:ascii="Times New Roman" w:hAnsi="Times New Roman" w:eastAsia="宋体" w:cs="Times New Roman"/>
                <w:kern w:val="0"/>
                <w:sz w:val="18"/>
                <w:szCs w:val="18"/>
              </w:rPr>
            </w:pPr>
            <w:r>
              <w:rPr>
                <w:rFonts w:hint="eastAsia" w:ascii="Times New Roman" w:hAnsi="Times New Roman" w:cs="Times New Roman"/>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continue"/>
            <w:vAlign w:val="center"/>
          </w:tcPr>
          <w:p>
            <w:pPr>
              <w:rPr>
                <w:rFonts w:ascii="Times New Roman" w:hAnsi="Times New Roman" w:cs="Times New Roman"/>
              </w:rPr>
            </w:pPr>
          </w:p>
        </w:tc>
        <w:tc>
          <w:tcPr>
            <w:tcW w:w="967" w:type="dxa"/>
            <w:vMerge w:val="continue"/>
            <w:vAlign w:val="center"/>
          </w:tcPr>
          <w:p>
            <w:pPr>
              <w:widowControl/>
              <w:rPr>
                <w:rFonts w:ascii="Times New Roman" w:hAnsi="Times New Roman" w:eastAsia="宋体" w:cs="Times New Roman"/>
                <w:kern w:val="0"/>
                <w:sz w:val="18"/>
                <w:szCs w:val="18"/>
              </w:rPr>
            </w:pPr>
          </w:p>
        </w:tc>
        <w:tc>
          <w:tcPr>
            <w:tcW w:w="2942" w:type="dxa"/>
            <w:gridSpan w:val="2"/>
            <w:vMerge w:val="restart"/>
            <w:vAlign w:val="center"/>
          </w:tcPr>
          <w:p>
            <w:pPr>
              <w:widowControl/>
              <w:jc w:val="center"/>
              <w:rPr>
                <w:rFonts w:ascii="Times New Roman" w:hAnsi="Times New Roman" w:eastAsia="宋体" w:cs="Times New Roman"/>
                <w:kern w:val="0"/>
                <w:sz w:val="18"/>
                <w:szCs w:val="18"/>
              </w:rPr>
            </w:pPr>
            <w:r>
              <w:rPr>
                <w:rFonts w:ascii="Times New Roman" w:hAnsi="Times New Roman" w:cs="Times New Roman"/>
                <w:kern w:val="0"/>
                <w:sz w:val="18"/>
                <w:szCs w:val="18"/>
              </w:rPr>
              <w:t>产出时效★</w:t>
            </w:r>
          </w:p>
        </w:tc>
        <w:tc>
          <w:tcPr>
            <w:tcW w:w="1290" w:type="dxa"/>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垃圾处理</w:t>
            </w:r>
          </w:p>
        </w:tc>
        <w:tc>
          <w:tcPr>
            <w:tcW w:w="1680" w:type="dxa"/>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日产日清</w:t>
            </w:r>
          </w:p>
        </w:tc>
        <w:tc>
          <w:tcPr>
            <w:tcW w:w="1950" w:type="dxa"/>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continue"/>
            <w:vAlign w:val="center"/>
          </w:tcPr>
          <w:p>
            <w:pPr>
              <w:rPr>
                <w:rFonts w:ascii="Times New Roman" w:hAnsi="Times New Roman" w:cs="Times New Roman"/>
              </w:rPr>
            </w:pPr>
          </w:p>
        </w:tc>
        <w:tc>
          <w:tcPr>
            <w:tcW w:w="967" w:type="dxa"/>
            <w:vMerge w:val="continue"/>
            <w:vAlign w:val="center"/>
          </w:tcPr>
          <w:p>
            <w:pPr>
              <w:widowControl/>
              <w:rPr>
                <w:rFonts w:ascii="Times New Roman" w:hAnsi="Times New Roman" w:eastAsia="宋体" w:cs="Times New Roman"/>
                <w:kern w:val="0"/>
                <w:sz w:val="18"/>
                <w:szCs w:val="18"/>
              </w:rPr>
            </w:pPr>
          </w:p>
        </w:tc>
        <w:tc>
          <w:tcPr>
            <w:tcW w:w="2942" w:type="dxa"/>
            <w:gridSpan w:val="2"/>
            <w:vMerge w:val="continue"/>
            <w:vAlign w:val="center"/>
          </w:tcPr>
          <w:p>
            <w:pPr>
              <w:widowControl/>
              <w:jc w:val="center"/>
              <w:rPr>
                <w:rFonts w:ascii="Times New Roman" w:hAnsi="Times New Roman" w:eastAsia="宋体" w:cs="Times New Roman"/>
                <w:kern w:val="0"/>
                <w:sz w:val="18"/>
                <w:szCs w:val="18"/>
              </w:rPr>
            </w:pPr>
          </w:p>
        </w:tc>
        <w:tc>
          <w:tcPr>
            <w:tcW w:w="1290" w:type="dxa"/>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集贸市场整治、赶集事项处理及时率</w:t>
            </w:r>
          </w:p>
        </w:tc>
        <w:tc>
          <w:tcPr>
            <w:tcW w:w="1680" w:type="dxa"/>
            <w:vAlign w:val="center"/>
          </w:tcPr>
          <w:p>
            <w:pPr>
              <w:widowControl/>
              <w:jc w:val="center"/>
              <w:rPr>
                <w:rFonts w:ascii="Times New Roman" w:hAnsi="Times New Roman" w:eastAsia="宋体" w:cs="Times New Roman"/>
                <w:kern w:val="0"/>
                <w:sz w:val="18"/>
                <w:szCs w:val="18"/>
              </w:rPr>
            </w:pPr>
            <w:r>
              <w:rPr>
                <w:rFonts w:hint="eastAsia" w:ascii="Times New Roman" w:hAnsi="Times New Roman" w:cs="Times New Roman"/>
                <w:kern w:val="0"/>
                <w:sz w:val="18"/>
                <w:szCs w:val="18"/>
              </w:rPr>
              <w:t>100%</w:t>
            </w:r>
          </w:p>
        </w:tc>
        <w:tc>
          <w:tcPr>
            <w:tcW w:w="1950" w:type="dxa"/>
            <w:vAlign w:val="center"/>
          </w:tcPr>
          <w:p>
            <w:pPr>
              <w:widowControl/>
              <w:jc w:val="center"/>
              <w:rPr>
                <w:rFonts w:ascii="Times New Roman" w:hAnsi="Times New Roman" w:eastAsia="宋体" w:cs="Times New Roman"/>
                <w:kern w:val="0"/>
                <w:sz w:val="18"/>
                <w:szCs w:val="18"/>
              </w:rPr>
            </w:pPr>
            <w:r>
              <w:rPr>
                <w:rFonts w:hint="eastAsia" w:ascii="Times New Roman" w:hAnsi="Times New Roman" w:cs="Times New Roman"/>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continue"/>
            <w:vAlign w:val="center"/>
          </w:tcPr>
          <w:p>
            <w:pPr>
              <w:rPr>
                <w:rFonts w:ascii="Times New Roman" w:hAnsi="Times New Roman" w:cs="Times New Roman"/>
              </w:rPr>
            </w:pPr>
          </w:p>
        </w:tc>
        <w:tc>
          <w:tcPr>
            <w:tcW w:w="967" w:type="dxa"/>
            <w:vAlign w:val="center"/>
          </w:tcPr>
          <w:p>
            <w:pPr>
              <w:widowControl/>
              <w:jc w:val="center"/>
              <w:rPr>
                <w:rFonts w:ascii="Times New Roman" w:hAnsi="Times New Roman" w:eastAsia="宋体" w:cs="Times New Roman"/>
                <w:kern w:val="0"/>
                <w:sz w:val="18"/>
                <w:szCs w:val="18"/>
              </w:rPr>
            </w:pPr>
            <w:r>
              <w:rPr>
                <w:rFonts w:ascii="Times New Roman" w:hAnsi="Times New Roman" w:cs="Times New Roman"/>
                <w:kern w:val="0"/>
                <w:sz w:val="18"/>
                <w:szCs w:val="18"/>
              </w:rPr>
              <w:t>成本指标</w:t>
            </w:r>
          </w:p>
        </w:tc>
        <w:tc>
          <w:tcPr>
            <w:tcW w:w="2942" w:type="dxa"/>
            <w:gridSpan w:val="2"/>
            <w:vAlign w:val="center"/>
          </w:tcPr>
          <w:p>
            <w:pPr>
              <w:widowControl/>
              <w:jc w:val="center"/>
              <w:rPr>
                <w:rFonts w:ascii="Times New Roman" w:hAnsi="Times New Roman" w:eastAsia="宋体" w:cs="Times New Roman"/>
                <w:kern w:val="0"/>
                <w:sz w:val="18"/>
                <w:szCs w:val="18"/>
              </w:rPr>
            </w:pPr>
            <w:r>
              <w:rPr>
                <w:rFonts w:ascii="Times New Roman" w:hAnsi="Times New Roman" w:cs="Times New Roman"/>
                <w:kern w:val="0"/>
                <w:sz w:val="18"/>
                <w:szCs w:val="18"/>
              </w:rPr>
              <w:t>经济成本★</w:t>
            </w:r>
          </w:p>
        </w:tc>
        <w:tc>
          <w:tcPr>
            <w:tcW w:w="1290" w:type="dxa"/>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实际支出超出预算比例</w:t>
            </w:r>
          </w:p>
        </w:tc>
        <w:tc>
          <w:tcPr>
            <w:tcW w:w="1680" w:type="dxa"/>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=0%</w:t>
            </w:r>
          </w:p>
        </w:tc>
        <w:tc>
          <w:tcPr>
            <w:tcW w:w="1950" w:type="dxa"/>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continue"/>
            <w:vAlign w:val="center"/>
          </w:tcPr>
          <w:p>
            <w:pPr>
              <w:rPr>
                <w:rFonts w:ascii="Times New Roman" w:hAnsi="Times New Roman" w:cs="Times New Roman"/>
              </w:rPr>
            </w:pPr>
          </w:p>
        </w:tc>
        <w:tc>
          <w:tcPr>
            <w:tcW w:w="967" w:type="dxa"/>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效益</w:t>
            </w:r>
            <w:r>
              <w:rPr>
                <w:rFonts w:ascii="Times New Roman" w:hAnsi="Times New Roman" w:cs="Times New Roman"/>
                <w:kern w:val="0"/>
                <w:sz w:val="18"/>
                <w:szCs w:val="18"/>
              </w:rPr>
              <w:t>指标</w:t>
            </w:r>
          </w:p>
        </w:tc>
        <w:tc>
          <w:tcPr>
            <w:tcW w:w="2942" w:type="dxa"/>
            <w:gridSpan w:val="2"/>
            <w:vAlign w:val="center"/>
          </w:tcPr>
          <w:p>
            <w:pPr>
              <w:widowControl/>
              <w:jc w:val="center"/>
              <w:rPr>
                <w:rFonts w:ascii="Times New Roman" w:hAnsi="Times New Roman" w:cs="Times New Roman"/>
                <w:kern w:val="0"/>
                <w:sz w:val="18"/>
                <w:szCs w:val="18"/>
              </w:rPr>
            </w:pPr>
            <w:r>
              <w:rPr>
                <w:rFonts w:ascii="Times New Roman" w:hAnsi="Times New Roman" w:eastAsia="宋体" w:cs="Times New Roman"/>
                <w:kern w:val="0"/>
                <w:sz w:val="18"/>
                <w:szCs w:val="18"/>
              </w:rPr>
              <w:t>社会效益★</w:t>
            </w:r>
          </w:p>
        </w:tc>
        <w:tc>
          <w:tcPr>
            <w:tcW w:w="1290" w:type="dxa"/>
            <w:vAlign w:val="center"/>
          </w:tcPr>
          <w:p>
            <w:pPr>
              <w:widowControl/>
              <w:rPr>
                <w:rFonts w:ascii="Times New Roman" w:hAnsi="Times New Roman" w:cs="Times New Roman"/>
                <w:kern w:val="0"/>
                <w:sz w:val="18"/>
                <w:szCs w:val="18"/>
              </w:rPr>
            </w:pPr>
            <w:r>
              <w:rPr>
                <w:rFonts w:ascii="Times New Roman" w:hAnsi="Times New Roman" w:cs="Times New Roman"/>
                <w:kern w:val="0"/>
                <w:sz w:val="18"/>
                <w:szCs w:val="18"/>
              </w:rPr>
              <w:t>改善市场经营环境和购物环境</w:t>
            </w:r>
          </w:p>
        </w:tc>
        <w:tc>
          <w:tcPr>
            <w:tcW w:w="1680" w:type="dxa"/>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明显</w:t>
            </w:r>
          </w:p>
        </w:tc>
        <w:tc>
          <w:tcPr>
            <w:tcW w:w="1950" w:type="dxa"/>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continue"/>
            <w:vAlign w:val="center"/>
          </w:tcPr>
          <w:p>
            <w:pPr>
              <w:rPr>
                <w:rFonts w:ascii="Times New Roman" w:hAnsi="Times New Roman" w:cs="Times New Roman"/>
              </w:rPr>
            </w:pPr>
          </w:p>
        </w:tc>
        <w:tc>
          <w:tcPr>
            <w:tcW w:w="967"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满意度</w:t>
            </w:r>
          </w:p>
          <w:p>
            <w:pPr>
              <w:jc w:val="center"/>
              <w:rPr>
                <w:rFonts w:ascii="Times New Roman" w:hAnsi="Times New Roman" w:eastAsia="宋体" w:cs="Times New Roman"/>
                <w:kern w:val="0"/>
                <w:sz w:val="18"/>
                <w:szCs w:val="18"/>
              </w:rPr>
            </w:pPr>
            <w:r>
              <w:rPr>
                <w:rFonts w:ascii="Times New Roman" w:hAnsi="Times New Roman" w:cs="Times New Roman"/>
                <w:kern w:val="0"/>
                <w:sz w:val="18"/>
                <w:szCs w:val="18"/>
              </w:rPr>
              <w:t>指标</w:t>
            </w:r>
          </w:p>
        </w:tc>
        <w:tc>
          <w:tcPr>
            <w:tcW w:w="2942" w:type="dxa"/>
            <w:gridSpan w:val="2"/>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社会公众或服务对象</w:t>
            </w:r>
            <w:r>
              <w:rPr>
                <w:rFonts w:ascii="Times New Roman" w:hAnsi="Times New Roman" w:eastAsia="宋体" w:cs="Times New Roman"/>
                <w:kern w:val="0"/>
                <w:sz w:val="18"/>
                <w:szCs w:val="18"/>
              </w:rPr>
              <w:t>满意度★</w:t>
            </w:r>
          </w:p>
        </w:tc>
        <w:tc>
          <w:tcPr>
            <w:tcW w:w="1290"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市场经营户满意度</w:t>
            </w:r>
          </w:p>
        </w:tc>
        <w:tc>
          <w:tcPr>
            <w:tcW w:w="1680"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≥90%</w:t>
            </w:r>
          </w:p>
        </w:tc>
        <w:tc>
          <w:tcPr>
            <w:tcW w:w="1950"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7" w:type="dxa"/>
          <w:trHeight w:val="414" w:hRule="atLeast"/>
          <w:jc w:val="center"/>
        </w:trPr>
        <w:tc>
          <w:tcPr>
            <w:tcW w:w="615" w:type="dxa"/>
            <w:vMerge w:val="continue"/>
            <w:vAlign w:val="center"/>
          </w:tcPr>
          <w:p>
            <w:pPr>
              <w:widowControl/>
              <w:jc w:val="center"/>
              <w:rPr>
                <w:rFonts w:ascii="Times New Roman" w:hAnsi="Times New Roman" w:cs="Times New Roman"/>
              </w:rPr>
            </w:pPr>
          </w:p>
        </w:tc>
        <w:tc>
          <w:tcPr>
            <w:tcW w:w="967" w:type="dxa"/>
            <w:vMerge w:val="continue"/>
            <w:vAlign w:val="center"/>
          </w:tcPr>
          <w:p>
            <w:pPr>
              <w:widowControl/>
              <w:jc w:val="center"/>
              <w:rPr>
                <w:rFonts w:ascii="Times New Roman" w:hAnsi="Times New Roman" w:cs="Times New Roman"/>
              </w:rPr>
            </w:pPr>
          </w:p>
        </w:tc>
        <w:tc>
          <w:tcPr>
            <w:tcW w:w="2942" w:type="dxa"/>
            <w:gridSpan w:val="2"/>
            <w:vMerge w:val="continue"/>
            <w:vAlign w:val="center"/>
          </w:tcPr>
          <w:p>
            <w:pPr>
              <w:widowControl/>
              <w:jc w:val="center"/>
              <w:rPr>
                <w:rFonts w:ascii="Times New Roman" w:hAnsi="Times New Roman" w:cs="Times New Roman"/>
              </w:rPr>
            </w:pPr>
          </w:p>
        </w:tc>
        <w:tc>
          <w:tcPr>
            <w:tcW w:w="1290"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消费者满意度</w:t>
            </w:r>
          </w:p>
        </w:tc>
        <w:tc>
          <w:tcPr>
            <w:tcW w:w="1680"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≥95%</w:t>
            </w:r>
          </w:p>
        </w:tc>
        <w:tc>
          <w:tcPr>
            <w:tcW w:w="1950"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1" w:type="dxa"/>
            <w:gridSpan w:val="8"/>
            <w:tcBorders>
              <w:left w:val="nil"/>
              <w:bottom w:val="nil"/>
              <w:right w:val="nil"/>
            </w:tcBorders>
            <w:vAlign w:val="center"/>
          </w:tcPr>
          <w:p>
            <w:pPr>
              <w:spacing w:beforeLines="20"/>
              <w:rPr>
                <w:rFonts w:ascii="Times New Roman" w:hAnsi="Times New Roman" w:cs="Times New Roman"/>
                <w:kern w:val="0"/>
                <w:sz w:val="18"/>
                <w:szCs w:val="18"/>
              </w:rPr>
            </w:pPr>
            <w:r>
              <w:rPr>
                <w:rFonts w:hint="eastAsia"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1" w:type="dxa"/>
            <w:gridSpan w:val="8"/>
            <w:tcBorders>
              <w:left w:val="nil"/>
              <w:bottom w:val="nil"/>
              <w:right w:val="nil"/>
            </w:tcBorders>
            <w:vAlign w:val="center"/>
          </w:tcPr>
          <w:p>
            <w:pPr>
              <w:spacing w:beforeLines="20"/>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1" w:type="dxa"/>
            <w:gridSpan w:val="8"/>
            <w:tcBorders>
              <w:left w:val="nil"/>
              <w:bottom w:val="nil"/>
              <w:right w:val="nil"/>
            </w:tcBorders>
            <w:vAlign w:val="center"/>
          </w:tcPr>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p>
            <w:pPr>
              <w:pStyle w:val="10"/>
              <w:ind w:firstLine="180"/>
              <w:rPr>
                <w:rFonts w:ascii="Times New Roman" w:hAnsi="Times New Roman" w:cs="Times New Roman"/>
                <w:sz w:val="18"/>
                <w:szCs w:val="18"/>
              </w:rPr>
            </w:pPr>
          </w:p>
        </w:tc>
      </w:tr>
    </w:tbl>
    <w:p>
      <w:pPr>
        <w:rPr>
          <w:rFonts w:ascii="宋体" w:hAnsi="宋体" w:eastAsia="宋体" w:cs="宋体"/>
          <w:sz w:val="30"/>
          <w:szCs w:val="30"/>
        </w:rPr>
      </w:pPr>
    </w:p>
    <w:tbl>
      <w:tblPr>
        <w:tblStyle w:val="7"/>
        <w:tblW w:w="10389" w:type="dxa"/>
        <w:jc w:val="center"/>
        <w:shd w:val="clear" w:color="auto" w:fill="auto"/>
        <w:tblLayout w:type="autofit"/>
        <w:tblCellMar>
          <w:top w:w="0" w:type="dxa"/>
          <w:left w:w="0" w:type="dxa"/>
          <w:bottom w:w="0" w:type="dxa"/>
          <w:right w:w="0" w:type="dxa"/>
        </w:tblCellMar>
      </w:tblPr>
      <w:tblGrid>
        <w:gridCol w:w="592"/>
        <w:gridCol w:w="92"/>
        <w:gridCol w:w="592"/>
        <w:gridCol w:w="328"/>
        <w:gridCol w:w="684"/>
        <w:gridCol w:w="1124"/>
        <w:gridCol w:w="684"/>
        <w:gridCol w:w="1329"/>
        <w:gridCol w:w="684"/>
        <w:gridCol w:w="816"/>
        <w:gridCol w:w="684"/>
        <w:gridCol w:w="686"/>
        <w:gridCol w:w="684"/>
        <w:gridCol w:w="726"/>
        <w:gridCol w:w="684"/>
      </w:tblGrid>
      <w:tr>
        <w:tblPrEx>
          <w:shd w:val="clear" w:color="auto" w:fill="auto"/>
          <w:tblCellMar>
            <w:top w:w="0" w:type="dxa"/>
            <w:left w:w="0" w:type="dxa"/>
            <w:bottom w:w="0" w:type="dxa"/>
            <w:right w:w="0" w:type="dxa"/>
          </w:tblCellMar>
        </w:tblPrEx>
        <w:trPr>
          <w:gridAfter w:val="1"/>
          <w:wAfter w:w="684" w:type="dxa"/>
          <w:trHeight w:val="900" w:hRule="atLeast"/>
          <w:jc w:val="center"/>
        </w:trPr>
        <w:tc>
          <w:tcPr>
            <w:tcW w:w="9705"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市场服务中心绩效自评表</w:t>
            </w:r>
          </w:p>
        </w:tc>
      </w:tr>
      <w:tr>
        <w:tblPrEx>
          <w:shd w:val="clear" w:color="auto" w:fill="auto"/>
          <w:tblCellMar>
            <w:top w:w="0" w:type="dxa"/>
            <w:left w:w="0" w:type="dxa"/>
            <w:bottom w:w="0" w:type="dxa"/>
            <w:right w:w="0" w:type="dxa"/>
          </w:tblCellMar>
        </w:tblPrEx>
        <w:trPr>
          <w:gridAfter w:val="1"/>
          <w:wAfter w:w="684" w:type="dxa"/>
          <w:trHeight w:val="285" w:hRule="atLeast"/>
          <w:jc w:val="center"/>
        </w:trPr>
        <w:tc>
          <w:tcPr>
            <w:tcW w:w="59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12" w:type="dxa"/>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0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13"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7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684" w:type="dxa"/>
          <w:trHeight w:val="620" w:hRule="atLeast"/>
          <w:jc w:val="center"/>
        </w:trPr>
        <w:tc>
          <w:tcPr>
            <w:tcW w:w="16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38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临聘人员包干经费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项目负责人及电话</w:t>
            </w:r>
          </w:p>
        </w:tc>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何建军13341347260</w:t>
            </w:r>
          </w:p>
        </w:tc>
      </w:tr>
      <w:tr>
        <w:tblPrEx>
          <w:shd w:val="clear" w:color="auto" w:fill="auto"/>
          <w:tblCellMar>
            <w:top w:w="0" w:type="dxa"/>
            <w:left w:w="0" w:type="dxa"/>
            <w:bottom w:w="0" w:type="dxa"/>
            <w:right w:w="0" w:type="dxa"/>
          </w:tblCellMar>
        </w:tblPrEx>
        <w:trPr>
          <w:gridAfter w:val="1"/>
          <w:wAfter w:w="684" w:type="dxa"/>
          <w:trHeight w:val="620" w:hRule="atLeast"/>
          <w:jc w:val="center"/>
        </w:trPr>
        <w:tc>
          <w:tcPr>
            <w:tcW w:w="16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主管部门</w:t>
            </w:r>
          </w:p>
        </w:tc>
        <w:tc>
          <w:tcPr>
            <w:tcW w:w="38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市场监管局</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实施单位</w:t>
            </w:r>
          </w:p>
        </w:tc>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市场服务中心</w:t>
            </w:r>
          </w:p>
        </w:tc>
      </w:tr>
      <w:tr>
        <w:tblPrEx>
          <w:shd w:val="clear" w:color="auto" w:fill="auto"/>
          <w:tblCellMar>
            <w:top w:w="0" w:type="dxa"/>
            <w:left w:w="0" w:type="dxa"/>
            <w:bottom w:w="0" w:type="dxa"/>
            <w:right w:w="0" w:type="dxa"/>
          </w:tblCellMar>
        </w:tblPrEx>
        <w:trPr>
          <w:gridAfter w:val="1"/>
          <w:wAfter w:w="684" w:type="dxa"/>
          <w:trHeight w:val="620" w:hRule="atLeast"/>
          <w:jc w:val="center"/>
        </w:trPr>
        <w:tc>
          <w:tcPr>
            <w:tcW w:w="16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资金情况（万元）</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年初预算资金总额：</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实际投入资金额</w:t>
            </w:r>
          </w:p>
        </w:tc>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产生差异的原因</w:t>
            </w:r>
          </w:p>
        </w:tc>
      </w:tr>
      <w:tr>
        <w:tblPrEx>
          <w:shd w:val="clear" w:color="auto" w:fill="auto"/>
          <w:tblCellMar>
            <w:top w:w="0" w:type="dxa"/>
            <w:left w:w="0" w:type="dxa"/>
            <w:bottom w:w="0" w:type="dxa"/>
            <w:right w:w="0" w:type="dxa"/>
          </w:tblCellMar>
        </w:tblPrEx>
        <w:trPr>
          <w:gridAfter w:val="1"/>
          <w:wAfter w:w="684" w:type="dxa"/>
          <w:trHeight w:val="620" w:hRule="atLeast"/>
          <w:jc w:val="center"/>
        </w:trPr>
        <w:tc>
          <w:tcPr>
            <w:tcW w:w="16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63</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63.7</w:t>
            </w:r>
          </w:p>
        </w:tc>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因疫情防控增加了消毒工资</w:t>
            </w:r>
          </w:p>
        </w:tc>
      </w:tr>
      <w:tr>
        <w:tblPrEx>
          <w:shd w:val="clear" w:color="auto" w:fill="auto"/>
          <w:tblCellMar>
            <w:top w:w="0" w:type="dxa"/>
            <w:left w:w="0" w:type="dxa"/>
            <w:bottom w:w="0" w:type="dxa"/>
            <w:right w:w="0" w:type="dxa"/>
          </w:tblCellMar>
        </w:tblPrEx>
        <w:trPr>
          <w:gridAfter w:val="1"/>
          <w:wAfter w:w="684" w:type="dxa"/>
          <w:trHeight w:val="620" w:hRule="atLeast"/>
          <w:jc w:val="center"/>
        </w:trPr>
        <w:tc>
          <w:tcPr>
            <w:tcW w:w="16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其中：财政拨款</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63</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63.7</w:t>
            </w:r>
          </w:p>
        </w:tc>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因疫情防控增加了消毒工资</w:t>
            </w:r>
          </w:p>
        </w:tc>
      </w:tr>
      <w:tr>
        <w:tblPrEx>
          <w:shd w:val="clear" w:color="auto" w:fill="auto"/>
          <w:tblCellMar>
            <w:top w:w="0" w:type="dxa"/>
            <w:left w:w="0" w:type="dxa"/>
            <w:bottom w:w="0" w:type="dxa"/>
            <w:right w:w="0" w:type="dxa"/>
          </w:tblCellMar>
        </w:tblPrEx>
        <w:trPr>
          <w:gridAfter w:val="1"/>
          <w:wAfter w:w="684" w:type="dxa"/>
          <w:trHeight w:val="620" w:hRule="atLeast"/>
          <w:jc w:val="center"/>
        </w:trPr>
        <w:tc>
          <w:tcPr>
            <w:tcW w:w="16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其他资金</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wAfter w:w="684" w:type="dxa"/>
          <w:trHeight w:val="620" w:hRule="atLeast"/>
          <w:jc w:val="center"/>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总体目标</w:t>
            </w:r>
          </w:p>
        </w:tc>
        <w:tc>
          <w:tcPr>
            <w:tcW w:w="48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年度目标</w:t>
            </w:r>
          </w:p>
        </w:tc>
        <w:tc>
          <w:tcPr>
            <w:tcW w:w="42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年度总体目标完成情况</w:t>
            </w:r>
          </w:p>
        </w:tc>
      </w:tr>
      <w:tr>
        <w:tblPrEx>
          <w:shd w:val="clear" w:color="auto" w:fill="auto"/>
          <w:tblCellMar>
            <w:top w:w="0" w:type="dxa"/>
            <w:left w:w="0" w:type="dxa"/>
            <w:bottom w:w="0" w:type="dxa"/>
            <w:right w:w="0" w:type="dxa"/>
          </w:tblCellMar>
        </w:tblPrEx>
        <w:trPr>
          <w:gridAfter w:val="1"/>
          <w:wAfter w:w="684" w:type="dxa"/>
          <w:trHeight w:val="62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8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保障三大市场正常运转</w:t>
            </w:r>
          </w:p>
        </w:tc>
        <w:tc>
          <w:tcPr>
            <w:tcW w:w="42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保障三大市场正常运转</w:t>
            </w:r>
          </w:p>
        </w:tc>
      </w:tr>
      <w:tr>
        <w:tblPrEx>
          <w:shd w:val="clear" w:color="auto" w:fill="auto"/>
          <w:tblCellMar>
            <w:top w:w="0" w:type="dxa"/>
            <w:left w:w="0" w:type="dxa"/>
            <w:bottom w:w="0" w:type="dxa"/>
            <w:right w:w="0" w:type="dxa"/>
          </w:tblCellMar>
        </w:tblPrEx>
        <w:trPr>
          <w:gridAfter w:val="1"/>
          <w:wAfter w:w="684" w:type="dxa"/>
          <w:trHeight w:val="620" w:hRule="atLeast"/>
          <w:jc w:val="center"/>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绩效指标</w:t>
            </w:r>
          </w:p>
        </w:tc>
        <w:tc>
          <w:tcPr>
            <w:tcW w:w="10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一级指标</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二级指标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三级指标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指标值</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全年实际完成值</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产生差异的原因及改进措施</w:t>
            </w:r>
          </w:p>
        </w:tc>
      </w:tr>
      <w:tr>
        <w:tblPrEx>
          <w:shd w:val="clear" w:color="auto" w:fill="auto"/>
          <w:tblCellMar>
            <w:top w:w="0" w:type="dxa"/>
            <w:left w:w="0" w:type="dxa"/>
            <w:bottom w:w="0" w:type="dxa"/>
            <w:right w:w="0" w:type="dxa"/>
          </w:tblCellMar>
        </w:tblPrEx>
        <w:trPr>
          <w:gridAfter w:val="1"/>
          <w:wAfter w:w="684" w:type="dxa"/>
          <w:trHeight w:val="75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数量指标</w:t>
            </w:r>
          </w:p>
        </w:tc>
        <w:tc>
          <w:tcPr>
            <w:tcW w:w="2013"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sz w:val="21"/>
                <w:szCs w:val="21"/>
              </w:rPr>
              <w:t>临聘人员人数</w:t>
            </w:r>
          </w:p>
        </w:tc>
        <w:tc>
          <w:tcPr>
            <w:tcW w:w="1500"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15人</w:t>
            </w:r>
          </w:p>
        </w:tc>
        <w:tc>
          <w:tcPr>
            <w:tcW w:w="1370"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14人</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eastAsia="zh-CN"/>
              </w:rPr>
              <w:t>年未因一人退休，</w:t>
            </w:r>
            <w:r>
              <w:rPr>
                <w:rFonts w:hint="eastAsia" w:ascii="宋体" w:hAnsi="宋体" w:eastAsia="宋体" w:cs="宋体"/>
                <w:i w:val="0"/>
                <w:color w:val="000000"/>
                <w:sz w:val="21"/>
                <w:szCs w:val="21"/>
                <w:u w:val="none"/>
                <w:lang w:val="en-US" w:eastAsia="zh-CN"/>
              </w:rPr>
              <w:t>2023年稳定人员</w:t>
            </w:r>
          </w:p>
        </w:tc>
      </w:tr>
      <w:tr>
        <w:tblPrEx>
          <w:shd w:val="clear" w:color="auto" w:fill="auto"/>
          <w:tblCellMar>
            <w:top w:w="0" w:type="dxa"/>
            <w:left w:w="0" w:type="dxa"/>
            <w:bottom w:w="0" w:type="dxa"/>
            <w:right w:w="0" w:type="dxa"/>
          </w:tblCellMar>
        </w:tblPrEx>
        <w:trPr>
          <w:gridAfter w:val="1"/>
          <w:wAfter w:w="684" w:type="dxa"/>
          <w:trHeight w:val="66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临聘人员工作完成率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wAfter w:w="684" w:type="dxa"/>
          <w:trHeight w:val="66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时效指标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临聘人员纠纷处理及时率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wAfter w:w="684" w:type="dxa"/>
          <w:trHeight w:val="66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临聘人员到岗数</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维护市场正常秩序</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正常维护秩序</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wAfter w:w="684" w:type="dxa"/>
          <w:trHeight w:val="66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改善市场经营环境和购物环境</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维护市场稳定</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维护市场稳定</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wAfter w:w="684" w:type="dxa"/>
          <w:trHeight w:val="66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实行长期管理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市场持续发展</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市场持续发展</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wAfter w:w="684" w:type="dxa"/>
          <w:trHeight w:val="66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服务对象满意度指标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市场满意度</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&gt;=95%</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Before w:val="2"/>
          <w:wBefore w:w="684" w:type="dxa"/>
          <w:trHeight w:val="900" w:hRule="atLeast"/>
          <w:jc w:val="center"/>
        </w:trPr>
        <w:tc>
          <w:tcPr>
            <w:tcW w:w="9705"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市场服务中心绩效自评表</w:t>
            </w:r>
          </w:p>
        </w:tc>
      </w:tr>
      <w:tr>
        <w:tblPrEx>
          <w:shd w:val="clear" w:color="auto" w:fill="auto"/>
          <w:tblCellMar>
            <w:top w:w="0" w:type="dxa"/>
            <w:left w:w="0" w:type="dxa"/>
            <w:bottom w:w="0" w:type="dxa"/>
            <w:right w:w="0" w:type="dxa"/>
          </w:tblCellMar>
        </w:tblPrEx>
        <w:trPr>
          <w:gridBefore w:val="2"/>
          <w:wBefore w:w="684" w:type="dxa"/>
          <w:trHeight w:val="285" w:hRule="atLeast"/>
          <w:jc w:val="center"/>
        </w:trPr>
        <w:tc>
          <w:tcPr>
            <w:tcW w:w="59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12"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0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13"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7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Before w:val="2"/>
          <w:wBefore w:w="684" w:type="dxa"/>
          <w:trHeight w:val="620" w:hRule="atLeast"/>
          <w:jc w:val="center"/>
        </w:trPr>
        <w:tc>
          <w:tcPr>
            <w:tcW w:w="16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38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三大市场保洁经费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项目负责人及电话</w:t>
            </w:r>
          </w:p>
        </w:tc>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何建军13341347260</w:t>
            </w:r>
          </w:p>
        </w:tc>
      </w:tr>
      <w:tr>
        <w:tblPrEx>
          <w:shd w:val="clear" w:color="auto" w:fill="auto"/>
          <w:tblCellMar>
            <w:top w:w="0" w:type="dxa"/>
            <w:left w:w="0" w:type="dxa"/>
            <w:bottom w:w="0" w:type="dxa"/>
            <w:right w:w="0" w:type="dxa"/>
          </w:tblCellMar>
        </w:tblPrEx>
        <w:trPr>
          <w:gridBefore w:val="2"/>
          <w:wBefore w:w="684" w:type="dxa"/>
          <w:trHeight w:val="620" w:hRule="atLeast"/>
          <w:jc w:val="center"/>
        </w:trPr>
        <w:tc>
          <w:tcPr>
            <w:tcW w:w="16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主管部门</w:t>
            </w:r>
          </w:p>
        </w:tc>
        <w:tc>
          <w:tcPr>
            <w:tcW w:w="38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市场监管局</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实施单位</w:t>
            </w:r>
          </w:p>
        </w:tc>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市场服务中心</w:t>
            </w:r>
          </w:p>
        </w:tc>
      </w:tr>
      <w:tr>
        <w:tblPrEx>
          <w:shd w:val="clear" w:color="auto" w:fill="auto"/>
          <w:tblCellMar>
            <w:top w:w="0" w:type="dxa"/>
            <w:left w:w="0" w:type="dxa"/>
            <w:bottom w:w="0" w:type="dxa"/>
            <w:right w:w="0" w:type="dxa"/>
          </w:tblCellMar>
        </w:tblPrEx>
        <w:trPr>
          <w:gridBefore w:val="2"/>
          <w:wBefore w:w="684" w:type="dxa"/>
          <w:trHeight w:val="620" w:hRule="atLeast"/>
          <w:jc w:val="center"/>
        </w:trPr>
        <w:tc>
          <w:tcPr>
            <w:tcW w:w="16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资金情况（万元）</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年初预算资金总额：</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实际投入资金额</w:t>
            </w:r>
          </w:p>
        </w:tc>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产生差异的原因</w:t>
            </w:r>
          </w:p>
        </w:tc>
      </w:tr>
      <w:tr>
        <w:tblPrEx>
          <w:shd w:val="clear" w:color="auto" w:fill="auto"/>
          <w:tblCellMar>
            <w:top w:w="0" w:type="dxa"/>
            <w:left w:w="0" w:type="dxa"/>
            <w:bottom w:w="0" w:type="dxa"/>
            <w:right w:w="0" w:type="dxa"/>
          </w:tblCellMar>
        </w:tblPrEx>
        <w:trPr>
          <w:gridBefore w:val="2"/>
          <w:wBefore w:w="684" w:type="dxa"/>
          <w:trHeight w:val="620" w:hRule="atLeast"/>
          <w:jc w:val="center"/>
        </w:trPr>
        <w:tc>
          <w:tcPr>
            <w:tcW w:w="16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23</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23.55</w:t>
            </w:r>
          </w:p>
        </w:tc>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因创文、标准化检查经费增多</w:t>
            </w:r>
          </w:p>
        </w:tc>
      </w:tr>
      <w:tr>
        <w:tblPrEx>
          <w:shd w:val="clear" w:color="auto" w:fill="auto"/>
          <w:tblCellMar>
            <w:top w:w="0" w:type="dxa"/>
            <w:left w:w="0" w:type="dxa"/>
            <w:bottom w:w="0" w:type="dxa"/>
            <w:right w:w="0" w:type="dxa"/>
          </w:tblCellMar>
        </w:tblPrEx>
        <w:trPr>
          <w:gridBefore w:val="2"/>
          <w:wBefore w:w="684" w:type="dxa"/>
          <w:trHeight w:val="620" w:hRule="atLeast"/>
          <w:jc w:val="center"/>
        </w:trPr>
        <w:tc>
          <w:tcPr>
            <w:tcW w:w="16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其中：财政拨款</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23</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22.23</w:t>
            </w:r>
          </w:p>
        </w:tc>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Before w:val="2"/>
          <w:wBefore w:w="684" w:type="dxa"/>
          <w:trHeight w:val="620" w:hRule="atLeast"/>
          <w:jc w:val="center"/>
        </w:trPr>
        <w:tc>
          <w:tcPr>
            <w:tcW w:w="16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其他资金</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1.32</w:t>
            </w:r>
          </w:p>
        </w:tc>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Before w:val="2"/>
          <w:wBefore w:w="684" w:type="dxa"/>
          <w:trHeight w:val="620" w:hRule="atLeast"/>
          <w:jc w:val="center"/>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总体目标</w:t>
            </w:r>
          </w:p>
        </w:tc>
        <w:tc>
          <w:tcPr>
            <w:tcW w:w="483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年度目标</w:t>
            </w:r>
          </w:p>
        </w:tc>
        <w:tc>
          <w:tcPr>
            <w:tcW w:w="42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年度总体目标完成情况</w:t>
            </w:r>
          </w:p>
        </w:tc>
      </w:tr>
      <w:tr>
        <w:tblPrEx>
          <w:tblCellMar>
            <w:top w:w="0" w:type="dxa"/>
            <w:left w:w="0" w:type="dxa"/>
            <w:bottom w:w="0" w:type="dxa"/>
            <w:right w:w="0" w:type="dxa"/>
          </w:tblCellMar>
        </w:tblPrEx>
        <w:trPr>
          <w:gridBefore w:val="2"/>
          <w:wBefore w:w="684" w:type="dxa"/>
          <w:trHeight w:val="404"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83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三个市场及周边26000平方米的卫生保洁，营造清洁的市场卫购物环境。</w:t>
            </w:r>
          </w:p>
        </w:tc>
        <w:tc>
          <w:tcPr>
            <w:tcW w:w="42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三个市场及周边26000平方米的卫生保洁，营造清洁的市场卫购物环境。</w:t>
            </w:r>
          </w:p>
        </w:tc>
      </w:tr>
      <w:tr>
        <w:tblPrEx>
          <w:tblCellMar>
            <w:top w:w="0" w:type="dxa"/>
            <w:left w:w="0" w:type="dxa"/>
            <w:bottom w:w="0" w:type="dxa"/>
            <w:right w:w="0" w:type="dxa"/>
          </w:tblCellMar>
        </w:tblPrEx>
        <w:trPr>
          <w:gridBefore w:val="2"/>
          <w:wBefore w:w="684" w:type="dxa"/>
          <w:trHeight w:val="620" w:hRule="atLeast"/>
          <w:jc w:val="center"/>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绩效指标</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一级指标</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二级指标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三级指标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指标值</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全年实际完成值</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产生差异的原因及改进措施</w:t>
            </w:r>
          </w:p>
        </w:tc>
      </w:tr>
      <w:tr>
        <w:tblPrEx>
          <w:tblCellMar>
            <w:top w:w="0" w:type="dxa"/>
            <w:left w:w="0" w:type="dxa"/>
            <w:bottom w:w="0" w:type="dxa"/>
            <w:right w:w="0" w:type="dxa"/>
          </w:tblCellMar>
        </w:tblPrEx>
        <w:trPr>
          <w:gridBefore w:val="2"/>
          <w:wBefore w:w="684" w:type="dxa"/>
          <w:trHeight w:val="66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w:t>
            </w:r>
            <w:r>
              <w:rPr>
                <w:rFonts w:hint="eastAsia" w:ascii="宋体" w:hAnsi="宋体" w:eastAsia="宋体" w:cs="宋体"/>
                <w:sz w:val="21"/>
                <w:szCs w:val="21"/>
              </w:rPr>
              <w:t>三个市场及周边保洁面积</w:t>
            </w:r>
            <w:r>
              <w:rPr>
                <w:rFonts w:hint="eastAsia" w:ascii="宋体" w:hAnsi="宋体" w:eastAsia="宋体" w:cs="宋体"/>
                <w:sz w:val="21"/>
                <w:szCs w:val="21"/>
              </w:rPr>
              <w:tab/>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sz w:val="21"/>
                <w:szCs w:val="21"/>
              </w:rPr>
              <w:t>=26000平方米</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sz w:val="21"/>
                <w:szCs w:val="21"/>
              </w:rPr>
              <w:t>=26000平方米</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Before w:val="2"/>
          <w:wBefore w:w="684" w:type="dxa"/>
          <w:trHeight w:val="66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保洁人数</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=6人</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=6人</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Before w:val="2"/>
          <w:wBefore w:w="684" w:type="dxa"/>
          <w:trHeight w:val="416"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卫生清理率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日产日清</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日产日清</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Before w:val="2"/>
          <w:wBefore w:w="684" w:type="dxa"/>
          <w:trHeight w:val="66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时效指标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lang w:val="en-US" w:eastAsia="zh-CN"/>
              </w:rPr>
              <w:t>垃圾处理及时率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Before w:val="2"/>
          <w:wBefore w:w="684" w:type="dxa"/>
          <w:trHeight w:val="66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lang w:val="en-US" w:eastAsia="zh-CN"/>
              </w:rPr>
              <w:t>资金投入</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≤23万元</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23.55万元</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21"/>
                <w:szCs w:val="21"/>
                <w:u w:val="none"/>
                <w:lang w:eastAsia="zh-CN"/>
              </w:rPr>
              <w:t>因创文、标准化检查经费增多</w:t>
            </w:r>
          </w:p>
        </w:tc>
      </w:tr>
      <w:tr>
        <w:tblPrEx>
          <w:shd w:val="clear" w:color="auto" w:fill="auto"/>
          <w:tblCellMar>
            <w:top w:w="0" w:type="dxa"/>
            <w:left w:w="0" w:type="dxa"/>
            <w:bottom w:w="0" w:type="dxa"/>
            <w:right w:w="0" w:type="dxa"/>
          </w:tblCellMar>
        </w:tblPrEx>
        <w:trPr>
          <w:gridBefore w:val="2"/>
          <w:wBefore w:w="684" w:type="dxa"/>
          <w:trHeight w:val="135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社会效益指标</w:t>
            </w:r>
          </w:p>
        </w:tc>
        <w:tc>
          <w:tcPr>
            <w:tcW w:w="2013"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lang w:val="en-US" w:eastAsia="zh-CN"/>
              </w:rPr>
              <w:t>改善市场经营环境和购物环境</w:t>
            </w:r>
          </w:p>
        </w:tc>
        <w:tc>
          <w:tcPr>
            <w:tcW w:w="1500"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明显</w:t>
            </w:r>
          </w:p>
        </w:tc>
        <w:tc>
          <w:tcPr>
            <w:tcW w:w="1370"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明显</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gridBefore w:val="2"/>
          <w:wBefore w:w="684" w:type="dxa"/>
          <w:trHeight w:val="660" w:hRule="atLeast"/>
          <w:jc w:val="center"/>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服务对象满意度指标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lang w:val="en-US" w:eastAsia="zh-CN"/>
              </w:rPr>
              <w:t>居民满意度</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≥95%</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widowControl/>
        <w:jc w:val="left"/>
        <w:rPr>
          <w:rFonts w:ascii="黑体" w:eastAsia="黑体" w:cs="黑体"/>
          <w:color w:val="000000"/>
          <w:kern w:val="0"/>
          <w:sz w:val="70"/>
          <w:szCs w:val="70"/>
        </w:rPr>
      </w:pPr>
    </w:p>
    <w:tbl>
      <w:tblPr>
        <w:tblStyle w:val="7"/>
        <w:tblW w:w="9705" w:type="dxa"/>
        <w:jc w:val="center"/>
        <w:shd w:val="clear" w:color="auto" w:fill="auto"/>
        <w:tblLayout w:type="autofit"/>
        <w:tblCellMar>
          <w:top w:w="0" w:type="dxa"/>
          <w:left w:w="0" w:type="dxa"/>
          <w:bottom w:w="0" w:type="dxa"/>
          <w:right w:w="0" w:type="dxa"/>
        </w:tblCellMar>
      </w:tblPr>
      <w:tblGrid>
        <w:gridCol w:w="548"/>
        <w:gridCol w:w="916"/>
        <w:gridCol w:w="1639"/>
        <w:gridCol w:w="1819"/>
        <w:gridCol w:w="1500"/>
        <w:gridCol w:w="1363"/>
        <w:gridCol w:w="1920"/>
      </w:tblGrid>
      <w:tr>
        <w:tblPrEx>
          <w:shd w:val="clear" w:color="auto" w:fill="auto"/>
          <w:tblCellMar>
            <w:top w:w="0" w:type="dxa"/>
            <w:left w:w="0" w:type="dxa"/>
            <w:bottom w:w="0" w:type="dxa"/>
            <w:right w:w="0" w:type="dxa"/>
          </w:tblCellMar>
        </w:tblPrEx>
        <w:trPr>
          <w:trHeight w:val="900" w:hRule="atLeast"/>
          <w:jc w:val="center"/>
        </w:trPr>
        <w:tc>
          <w:tcPr>
            <w:tcW w:w="971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市场服务中心绩效自评表</w:t>
            </w:r>
          </w:p>
        </w:tc>
      </w:tr>
      <w:tr>
        <w:tblPrEx>
          <w:shd w:val="clear" w:color="auto" w:fill="auto"/>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20" w:hRule="atLeast"/>
          <w:jc w:val="center"/>
        </w:trPr>
        <w:tc>
          <w:tcPr>
            <w:tcW w:w="1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3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市场管理及维修维护费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项目负责人及电话</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何建军13341347260</w:t>
            </w:r>
          </w:p>
        </w:tc>
      </w:tr>
      <w:tr>
        <w:tblPrEx>
          <w:shd w:val="clear" w:color="auto" w:fill="auto"/>
          <w:tblCellMar>
            <w:top w:w="0" w:type="dxa"/>
            <w:left w:w="0" w:type="dxa"/>
            <w:bottom w:w="0" w:type="dxa"/>
            <w:right w:w="0" w:type="dxa"/>
          </w:tblCellMar>
        </w:tblPrEx>
        <w:trPr>
          <w:trHeight w:val="620" w:hRule="atLeast"/>
          <w:jc w:val="center"/>
        </w:trPr>
        <w:tc>
          <w:tcPr>
            <w:tcW w:w="1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主管部门</w:t>
            </w:r>
          </w:p>
        </w:tc>
        <w:tc>
          <w:tcPr>
            <w:tcW w:w="3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市场监管局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实施单位</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市场服务中心</w:t>
            </w:r>
          </w:p>
        </w:tc>
      </w:tr>
      <w:tr>
        <w:tblPrEx>
          <w:shd w:val="clear" w:color="auto" w:fill="auto"/>
          <w:tblCellMar>
            <w:top w:w="0" w:type="dxa"/>
            <w:left w:w="0" w:type="dxa"/>
            <w:bottom w:w="0" w:type="dxa"/>
            <w:right w:w="0" w:type="dxa"/>
          </w:tblCellMar>
        </w:tblPrEx>
        <w:trPr>
          <w:trHeight w:val="620" w:hRule="atLeast"/>
          <w:jc w:val="center"/>
        </w:trPr>
        <w:tc>
          <w:tcPr>
            <w:tcW w:w="1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资金情况（万元）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年初预算资金总额：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实际投入资金额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产生差异的原因</w:t>
            </w:r>
          </w:p>
        </w:tc>
      </w:tr>
      <w:tr>
        <w:tblPrEx>
          <w:shd w:val="clear" w:color="auto" w:fill="auto"/>
          <w:tblCellMar>
            <w:top w:w="0" w:type="dxa"/>
            <w:left w:w="0" w:type="dxa"/>
            <w:bottom w:w="0" w:type="dxa"/>
            <w:right w:w="0" w:type="dxa"/>
          </w:tblCellMar>
        </w:tblPrEx>
        <w:trPr>
          <w:trHeight w:val="620" w:hRule="atLeast"/>
          <w:jc w:val="center"/>
        </w:trPr>
        <w:tc>
          <w:tcPr>
            <w:tcW w:w="1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因资金困难，积压市场管理费未付</w:t>
            </w:r>
          </w:p>
        </w:tc>
      </w:tr>
      <w:tr>
        <w:tblPrEx>
          <w:shd w:val="clear" w:color="auto" w:fill="auto"/>
          <w:tblCellMar>
            <w:top w:w="0" w:type="dxa"/>
            <w:left w:w="0" w:type="dxa"/>
            <w:bottom w:w="0" w:type="dxa"/>
            <w:right w:w="0" w:type="dxa"/>
          </w:tblCellMar>
        </w:tblPrEx>
        <w:trPr>
          <w:trHeight w:val="620" w:hRule="atLeast"/>
          <w:jc w:val="center"/>
        </w:trPr>
        <w:tc>
          <w:tcPr>
            <w:tcW w:w="1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其中：财政拨款</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4.07</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620" w:hRule="atLeast"/>
          <w:jc w:val="center"/>
        </w:trPr>
        <w:tc>
          <w:tcPr>
            <w:tcW w:w="1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其他资金</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2.16</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62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总体目标</w:t>
            </w:r>
          </w:p>
        </w:tc>
        <w:tc>
          <w:tcPr>
            <w:tcW w:w="49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年度目标</w:t>
            </w:r>
          </w:p>
        </w:tc>
        <w:tc>
          <w:tcPr>
            <w:tcW w:w="4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年度总体目标完成情况</w:t>
            </w:r>
          </w:p>
        </w:tc>
      </w:tr>
      <w:tr>
        <w:tblPrEx>
          <w:shd w:val="clear" w:color="auto" w:fill="auto"/>
          <w:tblCellMar>
            <w:top w:w="0" w:type="dxa"/>
            <w:left w:w="0" w:type="dxa"/>
            <w:bottom w:w="0" w:type="dxa"/>
            <w:right w:w="0" w:type="dxa"/>
          </w:tblCellMar>
        </w:tblPrEx>
        <w:trPr>
          <w:trHeight w:val="6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9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lang w:val="en-US" w:eastAsia="zh-CN"/>
              </w:rPr>
              <w:t>负责全区国有市场内物业管理、治安、消防、卫生及维修等日常服务；3、负责全区市场规划、开发、建设和备案；4、提供交易场所和服务设施。</w:t>
            </w:r>
          </w:p>
        </w:tc>
        <w:tc>
          <w:tcPr>
            <w:tcW w:w="4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lang w:val="en-US" w:eastAsia="zh-CN"/>
              </w:rPr>
              <w:t>负责全区国有市场内物业管理、治安、消防、卫生及维修等日常服务；3、负责全区市场规划、开发、建设和备案；4、提供交易场所和服务设施。</w:t>
            </w:r>
          </w:p>
        </w:tc>
      </w:tr>
      <w:tr>
        <w:tblPrEx>
          <w:shd w:val="clear" w:color="auto" w:fill="auto"/>
          <w:tblCellMar>
            <w:top w:w="0" w:type="dxa"/>
            <w:left w:w="0" w:type="dxa"/>
            <w:bottom w:w="0" w:type="dxa"/>
            <w:right w:w="0" w:type="dxa"/>
          </w:tblCellMar>
        </w:tblPrEx>
        <w:trPr>
          <w:trHeight w:val="62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绩效指标</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一级指标</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二级指标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指标值</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全年实际完成值</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产生差异的原因及改进措施</w:t>
            </w:r>
          </w:p>
        </w:tc>
      </w:tr>
      <w:tr>
        <w:tblPrEx>
          <w:shd w:val="clear" w:color="auto" w:fill="auto"/>
          <w:tblCellMar>
            <w:top w:w="0" w:type="dxa"/>
            <w:left w:w="0" w:type="dxa"/>
            <w:bottom w:w="0" w:type="dxa"/>
            <w:right w:w="0" w:type="dxa"/>
          </w:tblCellMar>
        </w:tblPrEx>
        <w:trPr>
          <w:trHeight w:val="6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产出指标</w:t>
            </w:r>
          </w:p>
        </w:tc>
        <w:tc>
          <w:tcPr>
            <w:tcW w:w="1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lang w:val="en-US" w:eastAsia="zh-CN"/>
              </w:rPr>
              <w:t>三个市场管理面积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=13400平方米</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=13400平方米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lang w:val="en-US" w:eastAsia="zh-CN"/>
              </w:rPr>
              <w:t>市场功能区划分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两个农贸市场水产区、家禽区、自产自销区等</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两个农贸市场水产区、家禽区、自产自销区等</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市场综合管考核达标率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按时到岗到位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按时到岗到位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时效指标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及时化解突发事项，处理矛盾纠纷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及时处理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lang w:val="en-US" w:eastAsia="zh-CN"/>
              </w:rPr>
              <w:t>资金投入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6.23</w:t>
            </w:r>
            <w:r>
              <w:rPr>
                <w:rFonts w:hint="eastAsia" w:ascii="宋体" w:hAnsi="宋体" w:eastAsia="宋体" w:cs="宋体"/>
                <w:kern w:val="0"/>
                <w:sz w:val="21"/>
                <w:szCs w:val="21"/>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因资金困难，</w:t>
            </w:r>
          </w:p>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积压市场管理费未付</w:t>
            </w:r>
          </w:p>
        </w:tc>
      </w:tr>
      <w:tr>
        <w:tblPrEx>
          <w:tblCellMar>
            <w:top w:w="0" w:type="dxa"/>
            <w:left w:w="0" w:type="dxa"/>
            <w:bottom w:w="0" w:type="dxa"/>
            <w:right w:w="0" w:type="dxa"/>
          </w:tblCellMar>
        </w:tblPrEx>
        <w:trPr>
          <w:trHeight w:val="6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1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lang w:val="en-US" w:eastAsia="zh-CN"/>
              </w:rPr>
              <w:t>改善市场经营环境和购物环境</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明显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明显</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lang w:val="en-US" w:eastAsia="zh-CN"/>
              </w:rPr>
              <w:t>居民投诉下降率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满意度指标</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服务对象满意度指标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lang w:val="en-US" w:eastAsia="zh-CN"/>
              </w:rPr>
              <w:t>市场经营户满意度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1"/>
                <w:szCs w:val="21"/>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10"/>
        <w:ind w:firstLine="700"/>
        <w:rPr>
          <w:rFonts w:ascii="黑体" w:eastAsia="黑体" w:cs="黑体"/>
          <w:color w:val="000000"/>
          <w:kern w:val="0"/>
          <w:sz w:val="70"/>
          <w:szCs w:val="70"/>
        </w:rPr>
      </w:pPr>
    </w:p>
    <w:p>
      <w:pPr>
        <w:pStyle w:val="10"/>
        <w:ind w:firstLine="700"/>
        <w:rPr>
          <w:rFonts w:ascii="黑体" w:eastAsia="黑体" w:cs="黑体"/>
          <w:color w:val="000000"/>
          <w:kern w:val="0"/>
          <w:sz w:val="70"/>
          <w:szCs w:val="70"/>
        </w:rPr>
      </w:pPr>
    </w:p>
    <w:p>
      <w:pPr>
        <w:pStyle w:val="10"/>
        <w:ind w:firstLine="700"/>
        <w:rPr>
          <w:rFonts w:ascii="黑体" w:eastAsia="黑体" w:cs="黑体"/>
          <w:color w:val="000000"/>
          <w:kern w:val="0"/>
          <w:sz w:val="70"/>
          <w:szCs w:val="70"/>
        </w:rPr>
      </w:pPr>
    </w:p>
    <w:p>
      <w:pPr>
        <w:pStyle w:val="10"/>
        <w:ind w:firstLine="700"/>
        <w:rPr>
          <w:rFonts w:ascii="黑体" w:eastAsia="黑体" w:cs="黑体"/>
          <w:color w:val="000000"/>
          <w:kern w:val="0"/>
          <w:sz w:val="70"/>
          <w:szCs w:val="70"/>
        </w:rPr>
      </w:pPr>
    </w:p>
    <w:p>
      <w:pPr>
        <w:pStyle w:val="10"/>
        <w:ind w:firstLine="700"/>
        <w:rPr>
          <w:rFonts w:ascii="黑体" w:eastAsia="黑体" w:cs="黑体"/>
          <w:color w:val="000000"/>
          <w:kern w:val="0"/>
          <w:sz w:val="70"/>
          <w:szCs w:val="70"/>
        </w:rPr>
      </w:pPr>
    </w:p>
    <w:p>
      <w:pPr>
        <w:pStyle w:val="10"/>
        <w:ind w:firstLine="700"/>
        <w:rPr>
          <w:rFonts w:ascii="黑体" w:eastAsia="黑体" w:cs="黑体"/>
          <w:color w:val="000000"/>
          <w:kern w:val="0"/>
          <w:sz w:val="70"/>
          <w:szCs w:val="70"/>
        </w:rPr>
      </w:pPr>
    </w:p>
    <w:p>
      <w:pPr>
        <w:pStyle w:val="10"/>
        <w:ind w:firstLine="700"/>
        <w:rPr>
          <w:rFonts w:ascii="黑体" w:eastAsia="黑体" w:cs="黑体"/>
          <w:color w:val="000000"/>
          <w:kern w:val="0"/>
          <w:sz w:val="70"/>
          <w:szCs w:val="70"/>
        </w:rPr>
      </w:pPr>
    </w:p>
    <w:p>
      <w:pPr>
        <w:pStyle w:val="10"/>
        <w:ind w:firstLine="700"/>
        <w:rPr>
          <w:rFonts w:ascii="黑体" w:eastAsia="黑体" w:cs="黑体"/>
          <w:color w:val="000000"/>
          <w:kern w:val="0"/>
          <w:sz w:val="70"/>
          <w:szCs w:val="70"/>
        </w:rPr>
      </w:pPr>
    </w:p>
    <w:p>
      <w:pPr>
        <w:pStyle w:val="10"/>
        <w:ind w:firstLine="0" w:firstLineChars="0"/>
        <w:rPr>
          <w:rFonts w:ascii="黑体" w:eastAsia="黑体" w:cs="黑体"/>
          <w:color w:val="000000"/>
          <w:kern w:val="0"/>
          <w:sz w:val="70"/>
          <w:szCs w:val="70"/>
        </w:rPr>
      </w:pPr>
    </w:p>
    <w:p>
      <w:pPr>
        <w:pStyle w:val="10"/>
        <w:ind w:firstLine="0" w:firstLineChars="0"/>
        <w:rPr>
          <w:rFonts w:ascii="黑体" w:eastAsia="黑体" w:cs="黑体"/>
          <w:color w:val="000000"/>
          <w:kern w:val="0"/>
          <w:sz w:val="70"/>
          <w:szCs w:val="70"/>
        </w:rPr>
      </w:pPr>
    </w:p>
    <w:p>
      <w:pPr>
        <w:pStyle w:val="10"/>
        <w:ind w:firstLine="0" w:firstLineChars="0"/>
        <w:rPr>
          <w:rFonts w:ascii="黑体" w:eastAsia="黑体" w:cs="黑体"/>
          <w:color w:val="000000"/>
          <w:kern w:val="0"/>
          <w:sz w:val="70"/>
          <w:szCs w:val="70"/>
        </w:rPr>
      </w:pPr>
    </w:p>
    <w:p>
      <w:pPr>
        <w:widowControl/>
        <w:jc w:val="center"/>
        <w:rPr>
          <w:rFonts w:eastAsia="方正小标宋_GBK"/>
          <w:sz w:val="36"/>
          <w:szCs w:val="36"/>
        </w:rPr>
      </w:pPr>
      <w:r>
        <w:rPr>
          <w:rFonts w:hint="eastAsia" w:ascii="方正小标宋简体" w:hAnsi="方正小标宋简体" w:eastAsia="方正小标宋简体" w:cs="方正小标宋简体"/>
          <w:sz w:val="36"/>
          <w:szCs w:val="36"/>
        </w:rPr>
        <w:t>附件2：南岳区市场服务中心2022年度部门整体支出绩效评价报告</w:t>
      </w:r>
    </w:p>
    <w:p>
      <w:pPr>
        <w:spacing w:line="600" w:lineRule="exact"/>
        <w:ind w:firstLine="645"/>
        <w:rPr>
          <w:rFonts w:eastAsia="仿宋_GB2312"/>
          <w:sz w:val="32"/>
          <w:szCs w:val="32"/>
        </w:rPr>
      </w:pPr>
      <w:r>
        <w:rPr>
          <w:rFonts w:eastAsia="仿宋_GB2312"/>
          <w:sz w:val="32"/>
          <w:szCs w:val="32"/>
        </w:rPr>
        <w:t>根据《中共中央 国务院关于全面实施预算绩效管理的意见》的文件精神，</w:t>
      </w:r>
      <w:r>
        <w:rPr>
          <w:rFonts w:hint="eastAsia" w:eastAsia="仿宋_GB2312"/>
          <w:sz w:val="32"/>
          <w:szCs w:val="32"/>
        </w:rPr>
        <w:t>本单位</w:t>
      </w:r>
      <w:r>
        <w:rPr>
          <w:rFonts w:eastAsia="仿宋_GB2312"/>
          <w:sz w:val="32"/>
          <w:szCs w:val="32"/>
        </w:rPr>
        <w:t>对部门整体支出进行了绩效评价，现报告如下：</w:t>
      </w: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一、南岳区市场服务中心基本情况</w:t>
      </w:r>
    </w:p>
    <w:p>
      <w:pPr>
        <w:widowControl/>
        <w:spacing w:line="600" w:lineRule="exact"/>
        <w:ind w:firstLine="630" w:firstLineChars="196"/>
        <w:jc w:val="left"/>
        <w:rPr>
          <w:rFonts w:eastAsia="楷体_GB2312"/>
          <w:b/>
          <w:snapToGrid w:val="0"/>
          <w:kern w:val="0"/>
          <w:sz w:val="32"/>
          <w:szCs w:val="32"/>
        </w:rPr>
      </w:pPr>
      <w:r>
        <w:rPr>
          <w:rFonts w:eastAsia="楷体_GB2312"/>
          <w:b/>
          <w:snapToGrid w:val="0"/>
          <w:kern w:val="0"/>
          <w:sz w:val="32"/>
          <w:szCs w:val="32"/>
        </w:rPr>
        <w:t>（一）部门职能职责</w:t>
      </w:r>
    </w:p>
    <w:p>
      <w:pPr>
        <w:ind w:firstLine="600" w:firstLineChars="200"/>
        <w:rPr>
          <w:rFonts w:ascii="仿宋_GB2312" w:eastAsia="仿宋_GB2312"/>
          <w:sz w:val="30"/>
          <w:szCs w:val="30"/>
        </w:rPr>
      </w:pPr>
      <w:r>
        <w:rPr>
          <w:rFonts w:hint="eastAsia" w:ascii="仿宋_GB2312" w:eastAsia="仿宋_GB2312"/>
          <w:sz w:val="30"/>
          <w:szCs w:val="30"/>
        </w:rPr>
        <w:t>1.职能职责</w:t>
      </w:r>
    </w:p>
    <w:p>
      <w:pPr>
        <w:spacing w:line="600" w:lineRule="exact"/>
        <w:ind w:left="958" w:leftChars="456"/>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1、经营管理全区国有市场资产；</w:t>
      </w:r>
      <w:r>
        <w:rPr>
          <w:rFonts w:hint="eastAsia" w:ascii="Times New Roman" w:hAnsi="Times New Roman" w:eastAsia="仿宋_GB2312" w:cs="Times New Roman"/>
          <w:kern w:val="0"/>
          <w:sz w:val="32"/>
          <w:szCs w:val="32"/>
        </w:rPr>
        <w:br w:type="textWrapping"/>
      </w:r>
      <w:r>
        <w:rPr>
          <w:rFonts w:hint="eastAsia" w:ascii="Times New Roman" w:hAnsi="Times New Roman" w:eastAsia="仿宋_GB2312" w:cs="Times New Roman"/>
          <w:kern w:val="0"/>
          <w:sz w:val="32"/>
          <w:szCs w:val="32"/>
        </w:rPr>
        <w:t>2、负责全区国有市场内物业管理、治安、消防、卫生及维修等日常服务；</w:t>
      </w:r>
      <w:r>
        <w:rPr>
          <w:rFonts w:hint="eastAsia" w:ascii="Times New Roman" w:hAnsi="Times New Roman" w:eastAsia="仿宋_GB2312" w:cs="Times New Roman"/>
          <w:kern w:val="0"/>
          <w:sz w:val="32"/>
          <w:szCs w:val="32"/>
        </w:rPr>
        <w:br w:type="textWrapping"/>
      </w:r>
      <w:r>
        <w:rPr>
          <w:rFonts w:hint="eastAsia" w:ascii="Times New Roman" w:hAnsi="Times New Roman" w:eastAsia="仿宋_GB2312" w:cs="Times New Roman"/>
          <w:kern w:val="0"/>
          <w:sz w:val="32"/>
          <w:szCs w:val="32"/>
        </w:rPr>
        <w:t>3、负责全区市场规划、开发、建设和备案；</w:t>
      </w:r>
      <w:r>
        <w:rPr>
          <w:rFonts w:hint="eastAsia" w:ascii="Times New Roman" w:hAnsi="Times New Roman" w:eastAsia="仿宋_GB2312" w:cs="Times New Roman"/>
          <w:kern w:val="0"/>
          <w:sz w:val="32"/>
          <w:szCs w:val="32"/>
        </w:rPr>
        <w:br w:type="textWrapping"/>
      </w:r>
      <w:r>
        <w:rPr>
          <w:rFonts w:hint="eastAsia" w:ascii="Times New Roman" w:hAnsi="Times New Roman" w:eastAsia="仿宋_GB2312" w:cs="Times New Roman"/>
          <w:kern w:val="0"/>
          <w:sz w:val="32"/>
          <w:szCs w:val="32"/>
        </w:rPr>
        <w:t>4、提供交易场所和服务设施，开展代储、信息咨询和其它服务；</w:t>
      </w:r>
      <w:r>
        <w:rPr>
          <w:rFonts w:hint="eastAsia" w:ascii="Times New Roman" w:hAnsi="Times New Roman" w:eastAsia="仿宋_GB2312" w:cs="Times New Roman"/>
          <w:kern w:val="0"/>
          <w:sz w:val="32"/>
          <w:szCs w:val="32"/>
        </w:rPr>
        <w:br w:type="textWrapping"/>
      </w:r>
      <w:r>
        <w:rPr>
          <w:rFonts w:hint="eastAsia" w:ascii="Times New Roman" w:hAnsi="Times New Roman" w:eastAsia="仿宋_GB2312" w:cs="Times New Roman"/>
          <w:kern w:val="0"/>
          <w:sz w:val="32"/>
          <w:szCs w:val="32"/>
        </w:rPr>
        <w:t>5、收取市场设施租赁费、交易手续提成费和其它符合国家及省规定的有偿服务费。</w:t>
      </w:r>
      <w:r>
        <w:rPr>
          <w:rFonts w:hint="eastAsia" w:ascii="Times New Roman" w:hAnsi="Times New Roman" w:eastAsia="仿宋_GB2312" w:cs="Times New Roman"/>
          <w:kern w:val="0"/>
          <w:sz w:val="32"/>
          <w:szCs w:val="32"/>
        </w:rPr>
        <w:br w:type="textWrapping"/>
      </w:r>
      <w:r>
        <w:rPr>
          <w:rFonts w:hint="eastAsia" w:ascii="Times New Roman" w:hAnsi="Times New Roman" w:eastAsia="仿宋_GB2312" w:cs="Times New Roman"/>
          <w:kern w:val="0"/>
          <w:sz w:val="32"/>
          <w:szCs w:val="32"/>
        </w:rPr>
        <w:t>6、根据政府安排，负责全区社会市场的监督管理。</w:t>
      </w:r>
    </w:p>
    <w:p>
      <w:pPr>
        <w:widowControl/>
        <w:spacing w:line="600" w:lineRule="exact"/>
        <w:ind w:firstLine="630" w:firstLineChars="196"/>
        <w:jc w:val="left"/>
        <w:rPr>
          <w:rFonts w:eastAsia="楷体_GB2312"/>
          <w:b/>
          <w:sz w:val="32"/>
          <w:szCs w:val="32"/>
        </w:rPr>
      </w:pPr>
      <w:r>
        <w:rPr>
          <w:rFonts w:eastAsia="楷体_GB2312"/>
          <w:b/>
          <w:sz w:val="32"/>
          <w:szCs w:val="32"/>
        </w:rPr>
        <w:t>（二）机构设置情况</w:t>
      </w:r>
    </w:p>
    <w:p>
      <w:pPr>
        <w:ind w:firstLine="960" w:firstLineChars="300"/>
        <w:rPr>
          <w:rFonts w:ascii="方正仿宋简体" w:hAnsi="方正仿宋简体" w:eastAsia="方正仿宋简体" w:cs="方正仿宋简体"/>
          <w:sz w:val="30"/>
          <w:szCs w:val="30"/>
        </w:rPr>
      </w:pPr>
      <w:r>
        <w:rPr>
          <w:rFonts w:hint="eastAsia" w:ascii="Times New Roman" w:hAnsi="Times New Roman" w:eastAsia="仿宋_GB2312" w:cs="Times New Roman"/>
          <w:kern w:val="0"/>
          <w:sz w:val="32"/>
          <w:szCs w:val="32"/>
        </w:rPr>
        <w:t>2022年末，南岳区市场服务中心是独立核算的自收自支的副科级事业单位，根据编办核定，我单位内设股室5个，分别是办公室、财务室、小商品市场管理所、迎宾市场管理所、南岳集贸市场管理所 。</w:t>
      </w:r>
    </w:p>
    <w:p>
      <w:pPr>
        <w:spacing w:line="600" w:lineRule="exact"/>
        <w:ind w:firstLine="640" w:firstLineChars="200"/>
        <w:rPr>
          <w:rFonts w:ascii="Times New Roman" w:hAnsi="Times New Roman" w:eastAsia="仿宋_GB2312" w:cs="Times New Roman"/>
          <w:kern w:val="0"/>
          <w:sz w:val="32"/>
          <w:szCs w:val="32"/>
        </w:rPr>
      </w:pPr>
    </w:p>
    <w:p>
      <w:pPr>
        <w:widowControl/>
        <w:spacing w:line="600" w:lineRule="exact"/>
        <w:ind w:firstLine="630" w:firstLineChars="196"/>
        <w:jc w:val="left"/>
        <w:rPr>
          <w:rFonts w:eastAsia="楷体_GB2312"/>
          <w:b/>
          <w:sz w:val="32"/>
          <w:szCs w:val="32"/>
        </w:rPr>
      </w:pPr>
      <w:r>
        <w:rPr>
          <w:rFonts w:eastAsia="楷体_GB2312"/>
          <w:b/>
          <w:sz w:val="32"/>
          <w:szCs w:val="32"/>
        </w:rPr>
        <w:t>（三）人员编制情况</w:t>
      </w:r>
    </w:p>
    <w:p>
      <w:pPr>
        <w:ind w:firstLine="640" w:firstLineChars="200"/>
        <w:rPr>
          <w:rFonts w:ascii="黑体" w:hAnsi="Times New Roman" w:eastAsia="黑体" w:cs="Times New Roman"/>
          <w:sz w:val="32"/>
          <w:szCs w:val="32"/>
        </w:rPr>
      </w:pPr>
      <w:r>
        <w:rPr>
          <w:rFonts w:eastAsia="仿宋_GB2312"/>
          <w:sz w:val="32"/>
          <w:szCs w:val="32"/>
        </w:rPr>
        <w:t>20</w:t>
      </w:r>
      <w:r>
        <w:rPr>
          <w:rFonts w:hint="eastAsia" w:eastAsia="仿宋_GB2312"/>
          <w:sz w:val="32"/>
          <w:szCs w:val="32"/>
        </w:rPr>
        <w:t>22</w:t>
      </w:r>
      <w:r>
        <w:rPr>
          <w:rFonts w:eastAsia="仿宋_GB2312"/>
          <w:sz w:val="32"/>
          <w:szCs w:val="32"/>
        </w:rPr>
        <w:t>年末，我单位共有编制</w:t>
      </w:r>
      <w:r>
        <w:rPr>
          <w:rFonts w:hint="eastAsia" w:eastAsia="仿宋_GB2312"/>
          <w:sz w:val="32"/>
          <w:szCs w:val="32"/>
        </w:rPr>
        <w:t xml:space="preserve"> 6 </w:t>
      </w:r>
      <w:r>
        <w:rPr>
          <w:rFonts w:eastAsia="仿宋_GB2312"/>
          <w:sz w:val="32"/>
          <w:szCs w:val="32"/>
        </w:rPr>
        <w:t>人，其中行政编制</w:t>
      </w:r>
      <w:r>
        <w:rPr>
          <w:rFonts w:hint="eastAsia" w:eastAsia="仿宋_GB2312"/>
          <w:sz w:val="32"/>
          <w:szCs w:val="32"/>
        </w:rPr>
        <w:t xml:space="preserve"> 0 </w:t>
      </w:r>
      <w:r>
        <w:rPr>
          <w:rFonts w:eastAsia="仿宋_GB2312"/>
          <w:sz w:val="32"/>
          <w:szCs w:val="32"/>
        </w:rPr>
        <w:t>人，</w:t>
      </w:r>
      <w:r>
        <w:rPr>
          <w:rFonts w:hint="eastAsia" w:eastAsia="仿宋_GB2312"/>
          <w:sz w:val="32"/>
          <w:szCs w:val="32"/>
        </w:rPr>
        <w:t>全额</w:t>
      </w:r>
      <w:r>
        <w:rPr>
          <w:rFonts w:eastAsia="仿宋_GB2312"/>
          <w:sz w:val="32"/>
          <w:szCs w:val="32"/>
        </w:rPr>
        <w:t>事业编制</w:t>
      </w:r>
      <w:r>
        <w:rPr>
          <w:rFonts w:hint="eastAsia" w:eastAsia="仿宋_GB2312"/>
          <w:sz w:val="32"/>
          <w:szCs w:val="32"/>
        </w:rPr>
        <w:t xml:space="preserve"> 6</w:t>
      </w:r>
      <w:r>
        <w:rPr>
          <w:rFonts w:eastAsia="仿宋_GB2312"/>
          <w:sz w:val="32"/>
          <w:szCs w:val="32"/>
        </w:rPr>
        <w:t>人。年末实有在职人员</w:t>
      </w:r>
      <w:r>
        <w:rPr>
          <w:rFonts w:hint="eastAsia" w:eastAsia="仿宋_GB2312"/>
          <w:sz w:val="32"/>
          <w:szCs w:val="32"/>
        </w:rPr>
        <w:t xml:space="preserve"> 6 </w:t>
      </w:r>
      <w:r>
        <w:rPr>
          <w:rFonts w:eastAsia="仿宋_GB2312"/>
          <w:sz w:val="32"/>
          <w:szCs w:val="32"/>
        </w:rPr>
        <w:t>人，离休人员</w:t>
      </w:r>
      <w:r>
        <w:rPr>
          <w:rFonts w:hint="eastAsia" w:eastAsia="仿宋_GB2312"/>
          <w:sz w:val="32"/>
          <w:szCs w:val="32"/>
        </w:rPr>
        <w:t xml:space="preserve"> 1 </w:t>
      </w:r>
      <w:r>
        <w:rPr>
          <w:rFonts w:eastAsia="仿宋_GB2312"/>
          <w:sz w:val="32"/>
          <w:szCs w:val="32"/>
        </w:rPr>
        <w:t>人。</w:t>
      </w:r>
    </w:p>
    <w:p>
      <w:pPr>
        <w:widowControl/>
        <w:numPr>
          <w:ilvl w:val="0"/>
          <w:numId w:val="2"/>
        </w:num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一般公共预算支出情况</w:t>
      </w:r>
    </w:p>
    <w:p>
      <w:pPr>
        <w:widowControl/>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pPr>
        <w:tabs>
          <w:tab w:val="left" w:pos="2296"/>
        </w:tabs>
        <w:spacing w:line="600" w:lineRule="exact"/>
        <w:ind w:firstLine="640" w:firstLineChars="200"/>
        <w:rPr>
          <w:rFonts w:eastAsia="仿宋_GB2312"/>
          <w:sz w:val="32"/>
          <w:szCs w:val="32"/>
        </w:rPr>
      </w:pPr>
      <w:r>
        <w:rPr>
          <w:rFonts w:eastAsia="仿宋_GB2312"/>
          <w:sz w:val="32"/>
          <w:szCs w:val="32"/>
        </w:rPr>
        <w:t>基本支出系保障我厅机构正常运转、完成日常工作任务而发生的各项支出，包括用于在职和离退休人员基本工资、津贴补贴等人员经费以及办公费、印刷费、水电费、办公设备购置等日常公用经费。20</w:t>
      </w:r>
      <w:r>
        <w:rPr>
          <w:rFonts w:hint="eastAsia" w:eastAsia="仿宋_GB2312"/>
          <w:sz w:val="32"/>
          <w:szCs w:val="32"/>
        </w:rPr>
        <w:t>22</w:t>
      </w:r>
      <w:r>
        <w:rPr>
          <w:rFonts w:eastAsia="仿宋_GB2312"/>
          <w:sz w:val="32"/>
          <w:szCs w:val="32"/>
        </w:rPr>
        <w:t>年基本支出</w:t>
      </w:r>
      <w:r>
        <w:rPr>
          <w:rFonts w:hint="eastAsia" w:eastAsia="仿宋_GB2312"/>
          <w:sz w:val="32"/>
          <w:szCs w:val="32"/>
        </w:rPr>
        <w:t>1504.4</w:t>
      </w:r>
      <w:r>
        <w:rPr>
          <w:rFonts w:eastAsia="仿宋_GB2312"/>
          <w:sz w:val="32"/>
          <w:szCs w:val="32"/>
        </w:rPr>
        <w:t>万元，较上年</w:t>
      </w:r>
      <w:r>
        <w:rPr>
          <w:rFonts w:hint="eastAsia" w:eastAsia="仿宋_GB2312"/>
          <w:sz w:val="32"/>
          <w:szCs w:val="32"/>
        </w:rPr>
        <w:t>增加1308.17</w:t>
      </w:r>
      <w:r>
        <w:rPr>
          <w:rFonts w:eastAsia="仿宋_GB2312"/>
          <w:sz w:val="32"/>
          <w:szCs w:val="32"/>
        </w:rPr>
        <w:t>万元。</w:t>
      </w:r>
      <w:r>
        <w:rPr>
          <w:rFonts w:eastAsia="仿宋_GB2312"/>
          <w:color w:val="000000"/>
          <w:sz w:val="32"/>
          <w:szCs w:val="32"/>
        </w:rPr>
        <w:t>基本支出中人员经费</w:t>
      </w:r>
      <w:r>
        <w:rPr>
          <w:rFonts w:hint="eastAsia" w:eastAsia="仿宋_GB2312"/>
          <w:color w:val="000000"/>
          <w:sz w:val="32"/>
          <w:szCs w:val="32"/>
        </w:rPr>
        <w:t>86.37</w:t>
      </w:r>
      <w:r>
        <w:rPr>
          <w:rFonts w:eastAsia="仿宋_GB2312"/>
          <w:color w:val="000000"/>
          <w:sz w:val="32"/>
          <w:szCs w:val="32"/>
        </w:rPr>
        <w:t>万元，占基本支出的</w:t>
      </w:r>
      <w:r>
        <w:rPr>
          <w:rFonts w:hint="eastAsia" w:eastAsia="仿宋_GB2312"/>
          <w:color w:val="000000"/>
          <w:sz w:val="32"/>
          <w:szCs w:val="32"/>
        </w:rPr>
        <w:t>5.74</w:t>
      </w:r>
      <w:r>
        <w:rPr>
          <w:rFonts w:eastAsia="仿宋_GB2312"/>
          <w:color w:val="000000"/>
          <w:sz w:val="32"/>
          <w:szCs w:val="32"/>
        </w:rPr>
        <w:t>%，</w:t>
      </w:r>
      <w:r>
        <w:rPr>
          <w:rFonts w:hint="eastAsia" w:eastAsia="仿宋_GB2312"/>
          <w:color w:val="000000"/>
          <w:sz w:val="32"/>
          <w:szCs w:val="32"/>
        </w:rPr>
        <w:t>与上年减少；</w:t>
      </w:r>
      <w:r>
        <w:rPr>
          <w:rFonts w:eastAsia="仿宋_GB2312"/>
          <w:color w:val="000000"/>
          <w:sz w:val="32"/>
          <w:szCs w:val="32"/>
        </w:rPr>
        <w:t>日常公用经费</w:t>
      </w:r>
      <w:r>
        <w:rPr>
          <w:rFonts w:hint="eastAsia" w:eastAsia="仿宋_GB2312"/>
          <w:color w:val="000000"/>
          <w:sz w:val="32"/>
          <w:szCs w:val="32"/>
        </w:rPr>
        <w:t>1418.1</w:t>
      </w:r>
      <w:r>
        <w:rPr>
          <w:rFonts w:eastAsia="仿宋_GB2312"/>
          <w:color w:val="000000"/>
          <w:sz w:val="32"/>
          <w:szCs w:val="32"/>
        </w:rPr>
        <w:t>万元，占基本支出的</w:t>
      </w:r>
      <w:r>
        <w:rPr>
          <w:rFonts w:hint="eastAsia" w:eastAsia="仿宋_GB2312"/>
          <w:color w:val="000000"/>
          <w:sz w:val="32"/>
          <w:szCs w:val="32"/>
        </w:rPr>
        <w:t>94.26</w:t>
      </w:r>
      <w:r>
        <w:rPr>
          <w:rFonts w:eastAsia="仿宋_GB2312"/>
          <w:color w:val="000000"/>
          <w:sz w:val="32"/>
          <w:szCs w:val="32"/>
        </w:rPr>
        <w:t>%，较上年</w:t>
      </w:r>
      <w:r>
        <w:rPr>
          <w:rFonts w:hint="eastAsia" w:eastAsia="仿宋_GB2312"/>
          <w:color w:val="000000"/>
          <w:sz w:val="32"/>
          <w:szCs w:val="32"/>
        </w:rPr>
        <w:t>上升2266.42</w:t>
      </w:r>
      <w:r>
        <w:rPr>
          <w:rFonts w:eastAsia="仿宋_GB2312"/>
          <w:color w:val="000000"/>
          <w:sz w:val="32"/>
          <w:szCs w:val="32"/>
        </w:rPr>
        <w:t>%</w:t>
      </w:r>
      <w:r>
        <w:rPr>
          <w:rFonts w:hint="eastAsia" w:eastAsia="仿宋_GB2312"/>
          <w:color w:val="000000"/>
          <w:sz w:val="32"/>
          <w:szCs w:val="32"/>
        </w:rPr>
        <w:t>，主要原因是售卖迎宾市场所缴纳的税费1384.67万元，占总比的92.04%,其他公用经费我单位厉行节约、严格把关，严控三公经费支出，大力压减公用经费支出。</w:t>
      </w:r>
    </w:p>
    <w:p>
      <w:pPr>
        <w:widowControl/>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w:t>
      </w:r>
      <w:r>
        <w:rPr>
          <w:rFonts w:ascii="楷体_GB2312" w:hAnsi="Times New Roman" w:eastAsia="楷体_GB2312" w:cs="Times New Roman"/>
          <w:b/>
          <w:sz w:val="32"/>
          <w:szCs w:val="32"/>
        </w:rPr>
        <w:t>项目支出情况</w:t>
      </w:r>
    </w:p>
    <w:p>
      <w:pPr>
        <w:tabs>
          <w:tab w:val="left" w:pos="2296"/>
        </w:tabs>
        <w:spacing w:line="600" w:lineRule="exact"/>
        <w:ind w:firstLine="640" w:firstLineChars="200"/>
        <w:rPr>
          <w:rFonts w:ascii="Times New Roman" w:hAnsi="Times New Roman" w:eastAsia="仿宋_GB2312" w:cs="Times New Roman"/>
          <w:sz w:val="32"/>
          <w:szCs w:val="32"/>
        </w:rPr>
      </w:pPr>
      <w:r>
        <w:rPr>
          <w:rFonts w:eastAsia="仿宋_GB2312"/>
          <w:sz w:val="32"/>
          <w:szCs w:val="32"/>
        </w:rPr>
        <w:t>项目支出系</w:t>
      </w:r>
      <w:r>
        <w:rPr>
          <w:rFonts w:hint="eastAsia" w:eastAsia="仿宋_GB2312"/>
          <w:sz w:val="32"/>
          <w:szCs w:val="32"/>
        </w:rPr>
        <w:t>本单位用于市场正常运转费用</w:t>
      </w:r>
      <w:r>
        <w:rPr>
          <w:rFonts w:eastAsia="仿宋_GB2312"/>
          <w:sz w:val="32"/>
          <w:szCs w:val="32"/>
        </w:rPr>
        <w:t>，包括</w:t>
      </w:r>
      <w:r>
        <w:rPr>
          <w:rFonts w:hint="eastAsia" w:eastAsia="仿宋_GB2312"/>
          <w:sz w:val="32"/>
          <w:szCs w:val="32"/>
        </w:rPr>
        <w:t>临聘人员包干经费、市场管理及维护维修费和三大市场包洁费用</w:t>
      </w:r>
      <w:r>
        <w:rPr>
          <w:rFonts w:eastAsia="仿宋_GB2312"/>
          <w:sz w:val="32"/>
          <w:szCs w:val="32"/>
        </w:rPr>
        <w:t>。</w:t>
      </w:r>
      <w:r>
        <w:rPr>
          <w:rFonts w:hint="eastAsia" w:eastAsia="仿宋_GB2312"/>
          <w:sz w:val="32"/>
          <w:szCs w:val="32"/>
        </w:rPr>
        <w:t>三大项目经费</w:t>
      </w:r>
      <w:r>
        <w:rPr>
          <w:rFonts w:eastAsia="仿宋_GB2312"/>
          <w:sz w:val="32"/>
          <w:szCs w:val="32"/>
        </w:rPr>
        <w:t>支出主要用于</w:t>
      </w:r>
      <w:r>
        <w:rPr>
          <w:rFonts w:hint="eastAsia" w:eastAsia="仿宋_GB2312"/>
          <w:sz w:val="32"/>
          <w:szCs w:val="32"/>
        </w:rPr>
        <w:t>市场管理人员工资、市场卫生、维护秩序、维护市场运转等费用</w:t>
      </w:r>
      <w:r>
        <w:rPr>
          <w:rFonts w:eastAsia="仿宋_GB2312"/>
          <w:sz w:val="32"/>
          <w:szCs w:val="32"/>
        </w:rPr>
        <w:t>。20</w:t>
      </w:r>
      <w:r>
        <w:rPr>
          <w:rFonts w:hint="eastAsia" w:eastAsia="仿宋_GB2312"/>
          <w:sz w:val="32"/>
          <w:szCs w:val="32"/>
        </w:rPr>
        <w:t>22</w:t>
      </w:r>
      <w:r>
        <w:rPr>
          <w:rFonts w:eastAsia="仿宋_GB2312"/>
          <w:sz w:val="32"/>
          <w:szCs w:val="32"/>
        </w:rPr>
        <w:t>年项目支出</w:t>
      </w:r>
      <w:r>
        <w:rPr>
          <w:rFonts w:hint="eastAsia" w:eastAsia="仿宋_GB2312"/>
          <w:sz w:val="32"/>
          <w:szCs w:val="32"/>
        </w:rPr>
        <w:t>121.42</w:t>
      </w:r>
      <w:r>
        <w:rPr>
          <w:rFonts w:eastAsia="仿宋_GB2312"/>
          <w:sz w:val="32"/>
          <w:szCs w:val="32"/>
        </w:rPr>
        <w:t>万元，比上年</w:t>
      </w:r>
      <w:r>
        <w:rPr>
          <w:rFonts w:hint="eastAsia" w:eastAsia="仿宋_GB2312"/>
          <w:sz w:val="32"/>
          <w:szCs w:val="32"/>
        </w:rPr>
        <w:t>减少80.52</w:t>
      </w:r>
      <w:r>
        <w:rPr>
          <w:rFonts w:eastAsia="仿宋_GB2312"/>
          <w:sz w:val="32"/>
          <w:szCs w:val="32"/>
        </w:rPr>
        <w:t>万元</w:t>
      </w:r>
      <w:r>
        <w:rPr>
          <w:rFonts w:hint="eastAsia" w:eastAsia="仿宋_GB2312"/>
          <w:sz w:val="32"/>
          <w:szCs w:val="32"/>
        </w:rPr>
        <w:t>，</w:t>
      </w:r>
      <w:r>
        <w:rPr>
          <w:rFonts w:eastAsia="仿宋_GB2312"/>
          <w:sz w:val="32"/>
          <w:szCs w:val="32"/>
        </w:rPr>
        <w:t>主要是</w:t>
      </w:r>
      <w:r>
        <w:rPr>
          <w:rFonts w:hint="eastAsia" w:eastAsia="仿宋_GB2312"/>
          <w:sz w:val="32"/>
          <w:szCs w:val="32"/>
        </w:rPr>
        <w:t>由于项目同上年减少且因疫情逐步放开，减少了疫情防控资金。</w:t>
      </w:r>
    </w:p>
    <w:p>
      <w:pPr>
        <w:widowControl/>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部门整体支出绩效情况</w:t>
      </w:r>
    </w:p>
    <w:p>
      <w:pPr>
        <w:widowControl/>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2</w:t>
      </w:r>
      <w:r>
        <w:rPr>
          <w:rFonts w:ascii="Times New Roman" w:hAnsi="Times New Roman" w:eastAsia="仿宋_GB2312"/>
          <w:sz w:val="32"/>
          <w:szCs w:val="32"/>
        </w:rPr>
        <w:t>年</w:t>
      </w:r>
      <w:r>
        <w:rPr>
          <w:rFonts w:hint="eastAsia" w:ascii="仿宋" w:hAnsi="仿宋" w:eastAsia="仿宋" w:cs="仿宋"/>
          <w:sz w:val="32"/>
          <w:szCs w:val="32"/>
        </w:rPr>
        <w:t>市场服务中心按照年初确定的工作思路，紧紧围绕市场管理扎实开展了安全生产、疫情防控、创文及标准化治理等一系列工作。全年收入1625.9万元，较上年增加13</w:t>
      </w:r>
      <w:bookmarkStart w:id="0" w:name="_GoBack"/>
      <w:bookmarkEnd w:id="0"/>
      <w:r>
        <w:rPr>
          <w:rFonts w:hint="eastAsia" w:ascii="仿宋" w:hAnsi="仿宋" w:eastAsia="仿宋" w:cs="仿宋"/>
          <w:sz w:val="32"/>
          <w:szCs w:val="32"/>
        </w:rPr>
        <w:t>46.23万元，其中1384.65万元为售卖迎宾市场所缴纳的税费，除去税费，同比上年减少38.42万元。</w:t>
      </w:r>
    </w:p>
    <w:p>
      <w:pPr>
        <w:widowControl/>
        <w:numPr>
          <w:ilvl w:val="0"/>
          <w:numId w:val="3"/>
        </w:numPr>
        <w:spacing w:line="600" w:lineRule="exact"/>
        <w:ind w:left="630" w:leftChars="0" w:firstLineChars="0"/>
        <w:jc w:val="left"/>
      </w:pPr>
      <w:r>
        <w:rPr>
          <w:rFonts w:hint="eastAsia" w:ascii="楷体" w:hAnsi="楷体" w:eastAsia="楷体" w:cs="楷体"/>
          <w:b/>
          <w:bCs/>
          <w:sz w:val="32"/>
          <w:szCs w:val="32"/>
        </w:rPr>
        <w:t>坚持牢牢守住安全生产底线，确保市场安全稳定。</w:t>
      </w:r>
    </w:p>
    <w:p>
      <w:pPr>
        <w:widowControl/>
        <w:spacing w:line="600" w:lineRule="exact"/>
        <w:ind w:firstLine="640" w:firstLineChars="200"/>
        <w:jc w:val="left"/>
        <w:rPr>
          <w:rFonts w:ascii="仿宋_GB2312" w:hAnsi="仿宋_GB2312" w:eastAsia="仿宋_GB2312" w:cs="仿宋_GB2312"/>
          <w:bCs/>
          <w:spacing w:val="-2"/>
          <w:sz w:val="32"/>
          <w:szCs w:val="32"/>
        </w:rPr>
      </w:pPr>
      <w:r>
        <w:rPr>
          <w:rFonts w:hint="eastAsia" w:ascii="仿宋" w:hAnsi="仿宋" w:eastAsia="仿宋" w:cs="仿宋"/>
          <w:sz w:val="32"/>
          <w:szCs w:val="32"/>
        </w:rPr>
        <w:t>2022年，中心严抓安全生产工作这条底线工作，严格落实安全生产责任制度，牢牢守住安全发展底线，时刻要求中心干部职工在安全生产方面保持高度的警惕性和居安思危的意识，确保了全年所辖市场未发生任何安全事故。</w:t>
      </w:r>
    </w:p>
    <w:p>
      <w:pPr>
        <w:pStyle w:val="6"/>
        <w:numPr>
          <w:numId w:val="0"/>
        </w:numPr>
        <w:spacing w:before="0" w:beforeAutospacing="0" w:after="0" w:afterAutospacing="0"/>
        <w:ind w:left="630" w:leftChars="0"/>
        <w:rPr>
          <w:rFonts w:ascii="楷体" w:hAnsi="楷体" w:eastAsia="楷体" w:cs="楷体"/>
          <w:b/>
          <w:bCs/>
          <w:kern w:val="2"/>
          <w:sz w:val="32"/>
          <w:szCs w:val="32"/>
        </w:rPr>
      </w:pPr>
      <w:r>
        <w:rPr>
          <w:rFonts w:hint="eastAsia" w:ascii="Times New Roman" w:hAnsi="Times New Roman" w:eastAsia="楷体_GB2312"/>
          <w:b/>
          <w:sz w:val="32"/>
          <w:szCs w:val="32"/>
        </w:rPr>
        <w:t>2、</w:t>
      </w:r>
      <w:r>
        <w:rPr>
          <w:rFonts w:hint="eastAsia" w:ascii="楷体" w:hAnsi="楷体" w:eastAsia="楷体" w:cs="楷体"/>
          <w:b/>
          <w:bCs/>
          <w:kern w:val="2"/>
          <w:sz w:val="32"/>
          <w:szCs w:val="32"/>
        </w:rPr>
        <w:t>筑牢疫情防控屏障，压紧压实工作责任。</w:t>
      </w:r>
    </w:p>
    <w:p>
      <w:pPr>
        <w:spacing w:line="600" w:lineRule="exact"/>
        <w:ind w:firstLine="640" w:firstLineChars="200"/>
        <w:rPr>
          <w:rFonts w:ascii="Times New Roman" w:hAnsi="Times New Roman" w:eastAsia="仿宋_GB2312"/>
          <w:spacing w:val="-4"/>
          <w:sz w:val="32"/>
          <w:szCs w:val="32"/>
        </w:rPr>
      </w:pPr>
      <w:r>
        <w:rPr>
          <w:rFonts w:hint="eastAsia" w:ascii="仿宋" w:hAnsi="仿宋" w:eastAsia="仿宋" w:cs="仿宋"/>
          <w:sz w:val="32"/>
          <w:szCs w:val="32"/>
        </w:rPr>
        <w:t>2022年疫情防控形势极其严峻，周边县市区均发生过疫情阳性病例，中心全体干部职工能够迅速响应区委、区政府的号召，根据疫情防控面临的新形势新问题，扛牢防控责任，以最短时间、最快速度、高标准、高质量打赢疫情防控阻击战，能够拧紧每个人责任的“螺丝钉”，坚决筑牢常态化疫情防控的社会大防线。</w:t>
      </w:r>
    </w:p>
    <w:p>
      <w:pPr>
        <w:spacing w:line="600" w:lineRule="exact"/>
        <w:ind w:firstLine="643" w:firstLineChars="200"/>
        <w:rPr>
          <w:rFonts w:ascii="Times New Roman" w:hAnsi="Times New Roman" w:eastAsia="楷体_GB2312"/>
          <w:sz w:val="32"/>
          <w:szCs w:val="32"/>
        </w:rPr>
      </w:pPr>
      <w:r>
        <w:rPr>
          <w:rFonts w:hint="eastAsia" w:ascii="Times New Roman" w:hAnsi="Times New Roman" w:eastAsia="楷体_GB2312"/>
          <w:b/>
          <w:sz w:val="32"/>
          <w:szCs w:val="32"/>
        </w:rPr>
        <w:t>3、</w:t>
      </w:r>
      <w:r>
        <w:rPr>
          <w:rFonts w:hint="eastAsia" w:ascii="楷体" w:hAnsi="楷体" w:eastAsia="楷体" w:cs="楷体"/>
          <w:b/>
          <w:bCs/>
          <w:sz w:val="32"/>
          <w:szCs w:val="32"/>
        </w:rPr>
        <w:t>坚持以民生为导向，切实提升群众满意度</w:t>
      </w:r>
    </w:p>
    <w:p>
      <w:pPr>
        <w:widowControl/>
        <w:spacing w:line="600" w:lineRule="exact"/>
        <w:ind w:firstLine="640" w:firstLineChars="200"/>
        <w:jc w:val="left"/>
        <w:rPr>
          <w:rFonts w:ascii="仿宋" w:hAnsi="仿宋" w:eastAsia="仿宋" w:cs="仿宋"/>
          <w:b/>
          <w:bCs/>
          <w:sz w:val="32"/>
          <w:szCs w:val="32"/>
        </w:rPr>
      </w:pPr>
      <w:r>
        <w:rPr>
          <w:rFonts w:hint="eastAsia" w:ascii="仿宋" w:hAnsi="仿宋" w:eastAsia="仿宋" w:cs="仿宋"/>
          <w:sz w:val="32"/>
          <w:szCs w:val="32"/>
        </w:rPr>
        <w:t>今年以来，中心坚持以民生为导向，重点抓好了四项工作：一是抓好规范赶集工作。二是抓好市场管理工作。三是抓好市场招租工作。四是抓好市场提质升级改造工作。</w:t>
      </w:r>
    </w:p>
    <w:p>
      <w:pPr>
        <w:widowControl/>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存在的问题及原因分析</w:t>
      </w:r>
    </w:p>
    <w:p>
      <w:pPr>
        <w:spacing w:line="600" w:lineRule="exact"/>
        <w:ind w:firstLine="640" w:firstLineChars="200"/>
        <w:rPr>
          <w:rFonts w:eastAsia="仿宋_GB2312"/>
          <w:sz w:val="32"/>
          <w:szCs w:val="32"/>
        </w:rPr>
      </w:pPr>
      <w:r>
        <w:rPr>
          <w:rFonts w:eastAsia="仿宋_GB2312"/>
          <w:sz w:val="32"/>
          <w:szCs w:val="32"/>
        </w:rPr>
        <w:t>通过前述对我厅整体支出情况的分析，反映出目前整体支出主要在预算执行方面还存在一些问题和不足：</w:t>
      </w:r>
    </w:p>
    <w:p>
      <w:pPr>
        <w:pStyle w:val="2"/>
        <w:rPr>
          <w:rFonts w:ascii="仿宋" w:hAnsi="仿宋" w:eastAsia="仿宋" w:cs="仿宋"/>
          <w:sz w:val="32"/>
          <w:szCs w:val="32"/>
        </w:rPr>
      </w:pPr>
      <w:r>
        <w:rPr>
          <w:rFonts w:hint="eastAsia" w:ascii="仿宋" w:hAnsi="仿宋" w:eastAsia="仿宋" w:cs="仿宋"/>
          <w:sz w:val="32"/>
          <w:szCs w:val="32"/>
        </w:rPr>
        <w:t>因缺乏经验，2023年特申请小商品市场消防控制系统维保费用，专用于小商品市场消防控制系统维护保养缺少专业的人员。</w:t>
      </w:r>
    </w:p>
    <w:p>
      <w:pPr>
        <w:widowControl/>
        <w:numPr>
          <w:ilvl w:val="0"/>
          <w:numId w:val="4"/>
        </w:num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下一步改进措施</w:t>
      </w:r>
    </w:p>
    <w:p>
      <w:pPr>
        <w:spacing w:line="600" w:lineRule="exact"/>
        <w:ind w:firstLine="640" w:firstLineChars="200"/>
        <w:rPr>
          <w:rFonts w:eastAsia="仿宋_GB2312"/>
          <w:sz w:val="32"/>
          <w:szCs w:val="32"/>
        </w:rPr>
      </w:pPr>
      <w:r>
        <w:rPr>
          <w:rFonts w:eastAsia="仿宋_GB2312"/>
          <w:sz w:val="32"/>
          <w:szCs w:val="32"/>
        </w:rPr>
        <w:t>针对上述存在的问题，拟采取以下改进措施：</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统筹做好市场管理并抓好小商品市场日常管理、消防等工作，确保小商品市场安全稳定。</w:t>
      </w:r>
    </w:p>
    <w:p>
      <w:pPr>
        <w:widowControl/>
        <w:spacing w:line="600" w:lineRule="exact"/>
        <w:ind w:firstLine="600" w:firstLineChars="200"/>
        <w:jc w:val="left"/>
        <w:rPr>
          <w:rFonts w:ascii="宋体" w:hAnsi="宋体" w:eastAsia="宋体" w:cs="宋体"/>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9CCF1"/>
    <w:multiLevelType w:val="singleLevel"/>
    <w:tmpl w:val="F639CCF1"/>
    <w:lvl w:ilvl="0" w:tentative="0">
      <w:start w:val="2"/>
      <w:numFmt w:val="chineseCounting"/>
      <w:suff w:val="nothing"/>
      <w:lvlText w:val="%1、"/>
      <w:lvlJc w:val="left"/>
      <w:rPr>
        <w:rFonts w:hint="eastAsia"/>
      </w:rPr>
    </w:lvl>
  </w:abstractNum>
  <w:abstractNum w:abstractNumId="1">
    <w:nsid w:val="FFF169A7"/>
    <w:multiLevelType w:val="singleLevel"/>
    <w:tmpl w:val="FFF169A7"/>
    <w:lvl w:ilvl="0" w:tentative="0">
      <w:start w:val="1"/>
      <w:numFmt w:val="decimal"/>
      <w:suff w:val="nothing"/>
      <w:lvlText w:val="%1、"/>
      <w:lvlJc w:val="left"/>
      <w:pPr>
        <w:ind w:left="-8"/>
      </w:pPr>
      <w:rPr>
        <w:rFonts w:hint="default"/>
        <w:sz w:val="32"/>
        <w:szCs w:val="32"/>
      </w:rPr>
    </w:lvl>
  </w:abstractNum>
  <w:abstractNum w:abstractNumId="2">
    <w:nsid w:val="524028E5"/>
    <w:multiLevelType w:val="singleLevel"/>
    <w:tmpl w:val="524028E5"/>
    <w:lvl w:ilvl="0" w:tentative="0">
      <w:start w:val="1"/>
      <w:numFmt w:val="chineseCounting"/>
      <w:suff w:val="nothing"/>
      <w:lvlText w:val="%1、"/>
      <w:lvlJc w:val="left"/>
      <w:rPr>
        <w:rFonts w:hint="eastAsia"/>
      </w:rPr>
    </w:lvl>
  </w:abstractNum>
  <w:abstractNum w:abstractNumId="3">
    <w:nsid w:val="692A871F"/>
    <w:multiLevelType w:val="singleLevel"/>
    <w:tmpl w:val="692A871F"/>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0M2RlNWI5YzA2M2EwNzZhNzJhNTAwZjQwODQ3MGYifQ=="/>
  </w:docVars>
  <w:rsids>
    <w:rsidRoot w:val="58E06247"/>
    <w:rsid w:val="00090522"/>
    <w:rsid w:val="00881676"/>
    <w:rsid w:val="00DD7FC4"/>
    <w:rsid w:val="027E2712"/>
    <w:rsid w:val="0570174F"/>
    <w:rsid w:val="09E13DD4"/>
    <w:rsid w:val="0AF83FEF"/>
    <w:rsid w:val="103C1D0B"/>
    <w:rsid w:val="13851625"/>
    <w:rsid w:val="149B2A0B"/>
    <w:rsid w:val="1C016D48"/>
    <w:rsid w:val="1C12254D"/>
    <w:rsid w:val="20E67351"/>
    <w:rsid w:val="220805DE"/>
    <w:rsid w:val="28606852"/>
    <w:rsid w:val="287C7332"/>
    <w:rsid w:val="29121970"/>
    <w:rsid w:val="29EF7861"/>
    <w:rsid w:val="2AA30682"/>
    <w:rsid w:val="2ADA6473"/>
    <w:rsid w:val="30BE2A8F"/>
    <w:rsid w:val="30DC4574"/>
    <w:rsid w:val="39615DF0"/>
    <w:rsid w:val="429F3322"/>
    <w:rsid w:val="43102595"/>
    <w:rsid w:val="4A1504A0"/>
    <w:rsid w:val="503D459E"/>
    <w:rsid w:val="50E7694C"/>
    <w:rsid w:val="52C14B04"/>
    <w:rsid w:val="5526771F"/>
    <w:rsid w:val="55A02E49"/>
    <w:rsid w:val="58E06247"/>
    <w:rsid w:val="59604FBB"/>
    <w:rsid w:val="5DA220D3"/>
    <w:rsid w:val="64A2122F"/>
    <w:rsid w:val="6713109A"/>
    <w:rsid w:val="67B42849"/>
    <w:rsid w:val="686137E1"/>
    <w:rsid w:val="6CDA7C1E"/>
    <w:rsid w:val="71BD756A"/>
    <w:rsid w:val="71FE0A2D"/>
    <w:rsid w:val="73421D63"/>
    <w:rsid w:val="751B6785"/>
    <w:rsid w:val="75F660CF"/>
    <w:rsid w:val="784A40F1"/>
    <w:rsid w:val="7B56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BodyText1I"/>
    <w:basedOn w:val="1"/>
    <w:qFormat/>
    <w:uiPriority w:val="99"/>
    <w:pPr>
      <w:snapToGrid w:val="0"/>
      <w:spacing w:line="360" w:lineRule="auto"/>
      <w:ind w:firstLine="420" w:firstLineChars="100"/>
    </w:pPr>
    <w:rPr>
      <w:sz w:val="28"/>
      <w:szCs w:val="20"/>
    </w:rPr>
  </w:style>
  <w:style w:type="paragraph" w:customStyle="1" w:styleId="11">
    <w:name w:val="样式3"/>
    <w:basedOn w:val="1"/>
    <w:qFormat/>
    <w:uiPriority w:val="0"/>
    <w:rPr>
      <w:rFonts w:ascii="Times New Roman" w:hAnsi="Times New Roman" w:eastAsia="仿宋_GB2312" w:cs="Times New Roman"/>
      <w:spacing w:val="113"/>
      <w:sz w:val="32"/>
    </w:rPr>
  </w:style>
  <w:style w:type="paragraph" w:customStyle="1" w:styleId="12">
    <w:name w:val="样式4"/>
    <w:basedOn w:val="1"/>
    <w:qFormat/>
    <w:uiPriority w:val="0"/>
    <w:rPr>
      <w:rFonts w:ascii="Times New Roman" w:hAnsi="Times New Roman" w:eastAsia="仿宋_GB2312" w:cs="Times New Roman"/>
      <w:snapToGrid w:val="0"/>
      <w:spacing w:val="79"/>
      <w:sz w:val="32"/>
    </w:rPr>
  </w:style>
  <w:style w:type="paragraph" w:customStyle="1" w:styleId="13">
    <w:name w:val="样式6"/>
    <w:basedOn w:val="1"/>
    <w:qFormat/>
    <w:uiPriority w:val="0"/>
    <w:rPr>
      <w:rFonts w:ascii="Times New Roman" w:hAnsi="Times New Roman" w:eastAsia="仿宋_GB2312" w:cs="Times New Roman"/>
      <w:spacing w:val="57"/>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4122</Words>
  <Characters>4552</Characters>
  <Lines>5</Lines>
  <Paragraphs>6</Paragraphs>
  <TotalTime>3</TotalTime>
  <ScaleCrop>false</ScaleCrop>
  <LinksUpToDate>false</LinksUpToDate>
  <CharactersWithSpaces>4669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2020-10-27T13:06:00Z</dcterms:created>
  <dc:creator>Administrator</dc:creator>
  <cp:lastModifiedBy>Administrator</cp:lastModifiedBy>
  <cp:lastPrinted>2022-12-08T01:17:00Z</cp:lastPrinted>
  <dcterms:modified xsi:type="dcterms:W3CDTF">2023-02-15T02:13:54Z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EEC5996205FD43B89A20E6E8560B2195</vt:lpwstr>
  </property>
</Properties>
</file>