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南岳区寿岳乡财政所2022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财政所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1、贯彻执行国家有关财政管理等方面的法律、法规和规章；拟定和执行本乡财政发展规划及其他有关政策。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2、编制本乡年度财政预算草案并组织执行；向乡人大报告财政预（决）算；管理和监督本乡各项财政收支。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3、管理各类政策性补贴等资金，确保各项惠农补贴及时发放。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4、负责对各类专项资金的监督，提高财政资金使用效率。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5、执行国库集中支付改革，及时做好财政收支工作。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6、承办乡党委、政府及上级财政部门交办的其他事项。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/>
        </w:rPr>
        <w:t>南岳区寿岳乡财政所无内设机构。核定编制数7人。其中：行政编制7人。无公务用车。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22年末，我单位共有编制7人，其中行政编制7人。年末实有在职人员7人，离休人员0人。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val="en-US" w:eastAsia="zh-CN"/>
        </w:rPr>
        <w:t>乡财政所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31.78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增加9.9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27.88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87.73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与上年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3.9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12.27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有所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下降，主要原因是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val="en-US" w:eastAsia="zh-CN"/>
        </w:rPr>
        <w:t>乡财政所</w:t>
      </w:r>
      <w:r>
        <w:rPr>
          <w:rFonts w:eastAsia="仿宋_GB2312"/>
          <w:sz w:val="32"/>
          <w:szCs w:val="32"/>
        </w:rPr>
        <w:t>为完成财政财务管理工作而发生的支出，包括行业务工作经费和</w:t>
      </w:r>
      <w:r>
        <w:rPr>
          <w:rFonts w:hint="eastAsia" w:eastAsia="仿宋_GB2312"/>
          <w:sz w:val="32"/>
          <w:szCs w:val="32"/>
          <w:lang w:val="en-US" w:eastAsia="zh-CN"/>
        </w:rPr>
        <w:t>临聘人员</w:t>
      </w:r>
      <w:r>
        <w:rPr>
          <w:rFonts w:eastAsia="仿宋_GB2312"/>
          <w:sz w:val="32"/>
          <w:szCs w:val="32"/>
        </w:rPr>
        <w:t>经费。业务工作经费支出主要用于</w:t>
      </w:r>
      <w:r>
        <w:rPr>
          <w:rFonts w:hint="eastAsia" w:eastAsia="仿宋_GB2312"/>
          <w:sz w:val="32"/>
          <w:szCs w:val="32"/>
          <w:lang w:val="en-US" w:eastAsia="zh-CN"/>
        </w:rPr>
        <w:t>乡镇财政管理资金；临聘人员经费主要是用于临聘人员工资发放</w:t>
      </w:r>
      <w:r>
        <w:rPr>
          <w:rFonts w:eastAsia="仿宋_GB2312"/>
          <w:sz w:val="32"/>
          <w:szCs w:val="32"/>
        </w:rPr>
        <w:t>。20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49.46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增加39.46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31.46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增加21.46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val="en-US" w:eastAsia="zh-CN"/>
        </w:rPr>
        <w:t>增加住房公积金补缴以及年终绩效的追加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临聘人员</w:t>
      </w:r>
      <w:r>
        <w:rPr>
          <w:rFonts w:eastAsia="仿宋_GB2312"/>
          <w:sz w:val="32"/>
          <w:szCs w:val="32"/>
        </w:rPr>
        <w:t>经费支出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持平。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保障了人员经费的顺利发放及缴纳，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乡财政所总收入81.75万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比上年</w:t>
      </w:r>
      <w:r>
        <w:rPr>
          <w:rFonts w:ascii="Times New Roman" w:hAnsi="Times New Roman" w:eastAsia="仿宋_GB2312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13.05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一般公共预算财政拨款收入81.24万元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增长13.88</w:t>
      </w:r>
      <w:r>
        <w:rPr>
          <w:rFonts w:ascii="Times New Roman" w:hAnsi="Times New Roman" w:eastAsia="仿宋_GB2312"/>
          <w:sz w:val="32"/>
          <w:szCs w:val="32"/>
        </w:rPr>
        <w:t>%；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0.51万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减少47.42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left="-13" w:leftChars="0" w:firstLine="643" w:firstLineChars="0"/>
        <w:jc w:val="left"/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全力做好三保工作，乡政府基本民生保障良好,工资足额发放,机构运转平稳。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numId w:val="0"/>
        </w:numPr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spacing w:val="-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疫情爆发，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财政所加紧与上级部门沟通，年终岁末确保乡政府各项工程项目农民工工资顺利发放，保基本民生，财政所惠民一卡通发放项目76项共计发放金额：721.5万元</w:t>
      </w:r>
      <w:r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  <w:lang w:val="en-US" w:eastAsia="zh-CN"/>
        </w:rPr>
        <w:t>村级运转经费足额保障。</w:t>
      </w:r>
    </w:p>
    <w:p>
      <w:pPr>
        <w:numPr>
          <w:ilvl w:val="0"/>
          <w:numId w:val="2"/>
        </w:numPr>
        <w:spacing w:line="600" w:lineRule="exact"/>
        <w:ind w:left="-13" w:leftChars="0" w:firstLine="643" w:firstLineChars="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保障财政所临聘人员工资正常发放</w:t>
      </w:r>
      <w:r>
        <w:rPr>
          <w:rFonts w:ascii="Times New Roman" w:hAnsi="Times New Roman" w:eastAsia="楷体_GB2312"/>
          <w:b/>
          <w:sz w:val="32"/>
          <w:szCs w:val="32"/>
        </w:rPr>
        <w:t>。</w:t>
      </w:r>
    </w:p>
    <w:p>
      <w:pPr>
        <w:numPr>
          <w:numId w:val="0"/>
        </w:numPr>
        <w:spacing w:line="240" w:lineRule="auto"/>
        <w:ind w:left="0" w:leftChars="0" w:firstLine="624" w:firstLineChars="200"/>
        <w:rPr>
          <w:rFonts w:hint="default" w:ascii="Times New Roman" w:hAnsi="Times New Roman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2022年财政所临聘人员四人，年初预算资金18万元，全年共发放工资18万元，确保临聘人员工资待遇正常发放</w:t>
      </w:r>
      <w:r>
        <w:rPr>
          <w:rFonts w:ascii="Times New Roman" w:hAnsi="Times New Roman" w:eastAsia="仿宋_GB2312"/>
          <w:spacing w:val="-4"/>
          <w:sz w:val="32"/>
          <w:szCs w:val="32"/>
        </w:rPr>
        <w:t>。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做到了工资待遇100%发放。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3、加强业务技能学习，提升服务群众能力。</w:t>
      </w:r>
    </w:p>
    <w:p>
      <w:pPr>
        <w:spacing w:line="580" w:lineRule="exact"/>
        <w:ind w:firstLine="624" w:firstLineChars="200"/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 xml:space="preserve">2022年积极响应区财政国库支付中心预算一体化改革，以预算管理一体化改革为突破口，整合完善预算管理流程和规则，实现业务管理与信息系统紧密结合，全面提升财政管理水平。通过一体化改革，实现乡政府边远山区报账网上审核，减少村民来回路程，得到了广大政府干部职工以及群众的一致好评，群众满意度达到了95%以上。 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  <w:lang w:eastAsia="zh-CN"/>
        </w:rPr>
        <w:t>乡</w:t>
      </w:r>
      <w:r>
        <w:rPr>
          <w:rFonts w:hint="eastAsia" w:eastAsia="仿宋_GB2312"/>
          <w:sz w:val="32"/>
          <w:szCs w:val="32"/>
          <w:lang w:val="en-US" w:eastAsia="zh-CN"/>
        </w:rPr>
        <w:t>财政所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工资待遇一样，然而工作分工不一样。造成部分人员有心理畏难情绪，下一步将根据年底绩效考核，按照考核标准对工作人员进行评定等次，按等次发放相应的绩效考核奖励。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受疫情影响，部分项目启动较晚，实施周期相对较长，导致项目验收晚，预算执行进度偏慢，相对比较集中。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1、强化绩效考核，杜绝平均主义。提高干部职工的工作积极性。2、针对受疫情影响的项目，来年督促项目实施单位早启动、早实施、早验收，对符合条件的项目按照项目进度支付相关款项。</w:t>
      </w:r>
      <w:bookmarkStart w:id="0" w:name="_GoBack"/>
      <w:bookmarkEnd w:id="0"/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71807"/>
    <w:multiLevelType w:val="singleLevel"/>
    <w:tmpl w:val="2DD71807"/>
    <w:lvl w:ilvl="0" w:tentative="0">
      <w:start w:val="1"/>
      <w:numFmt w:val="decimal"/>
      <w:suff w:val="nothing"/>
      <w:lvlText w:val="%1、"/>
      <w:lvlJc w:val="left"/>
      <w:pPr>
        <w:ind w:left="-13"/>
      </w:pPr>
    </w:lvl>
  </w:abstractNum>
  <w:abstractNum w:abstractNumId="2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</w:docVars>
  <w:rsids>
    <w:rsidRoot w:val="21307DF8"/>
    <w:rsid w:val="1B9A4D9A"/>
    <w:rsid w:val="213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2092</Words>
  <Characters>2164</Characters>
  <Lines>0</Lines>
  <Paragraphs>0</Paragraphs>
  <TotalTime>0</TotalTime>
  <ScaleCrop>false</ScaleCrop>
  <LinksUpToDate>false</LinksUpToDate>
  <CharactersWithSpaces>2177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2023-02-06T08:28:00Z</dcterms:created>
  <dc:creator>lenovo</dc:creator>
  <cp:lastModifiedBy>lenovo</cp:lastModifiedBy>
  <dcterms:modified xsi:type="dcterms:W3CDTF">2023-02-07T05:28:43Z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6CA93BBB47E14B719439F130DEF68351</vt:lpwstr>
  </property>
</Properties>
</file>