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区委巡察工作领导小组办公室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部门整体支出绩效评价报告</w:t>
      </w:r>
    </w:p>
    <w:p>
      <w:pPr>
        <w:spacing w:line="600" w:lineRule="exact"/>
        <w:ind w:firstLine="645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eastAsia="仿宋_GB2312"/>
          <w:sz w:val="32"/>
          <w:szCs w:val="32"/>
          <w:lang w:val="en-US" w:eastAsia="zh-CN"/>
        </w:rPr>
        <w:t>按照</w:t>
      </w:r>
      <w:r>
        <w:rPr>
          <w:rFonts w:hint="eastAsia" w:eastAsia="仿宋_GB2312"/>
          <w:sz w:val="32"/>
          <w:szCs w:val="32"/>
          <w:lang w:val="en-US" w:eastAsia="zh-CN"/>
        </w:rPr>
        <w:t>南岳</w:t>
      </w:r>
      <w:r>
        <w:rPr>
          <w:rFonts w:eastAsia="仿宋_GB2312"/>
          <w:sz w:val="32"/>
          <w:szCs w:val="32"/>
          <w:lang w:val="en-US" w:eastAsia="zh-CN"/>
        </w:rPr>
        <w:t>区财政局《关于</w:t>
      </w:r>
      <w:r>
        <w:rPr>
          <w:rFonts w:hint="eastAsia" w:eastAsia="仿宋_GB2312"/>
          <w:sz w:val="32"/>
          <w:szCs w:val="32"/>
          <w:lang w:val="en-US" w:eastAsia="zh-CN"/>
        </w:rPr>
        <w:t>对</w:t>
      </w:r>
      <w:r>
        <w:rPr>
          <w:rFonts w:eastAsia="仿宋_GB2312"/>
          <w:sz w:val="32"/>
          <w:szCs w:val="32"/>
          <w:lang w:val="en-US" w:eastAsia="zh-CN"/>
        </w:rPr>
        <w:t>2022年</w:t>
      </w:r>
      <w:r>
        <w:rPr>
          <w:rFonts w:hint="eastAsia" w:eastAsia="仿宋_GB2312"/>
          <w:sz w:val="32"/>
          <w:szCs w:val="32"/>
          <w:lang w:val="en-US" w:eastAsia="zh-CN"/>
        </w:rPr>
        <w:t>部门整体</w:t>
      </w:r>
      <w:r>
        <w:rPr>
          <w:rFonts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和项目支出全面开展</w:t>
      </w:r>
      <w:r>
        <w:rPr>
          <w:rFonts w:eastAsia="仿宋_GB2312"/>
          <w:sz w:val="32"/>
          <w:szCs w:val="32"/>
          <w:lang w:val="en-US" w:eastAsia="zh-CN"/>
        </w:rPr>
        <w:t>绩效</w:t>
      </w:r>
      <w:r>
        <w:rPr>
          <w:rFonts w:hint="eastAsia" w:eastAsia="仿宋_GB2312"/>
          <w:sz w:val="32"/>
          <w:szCs w:val="32"/>
          <w:lang w:val="en-US" w:eastAsia="zh-CN"/>
        </w:rPr>
        <w:t>自评</w:t>
      </w:r>
      <w:r>
        <w:rPr>
          <w:rFonts w:eastAsia="仿宋_GB2312"/>
          <w:sz w:val="32"/>
          <w:szCs w:val="32"/>
          <w:lang w:val="en-US" w:eastAsia="zh-CN"/>
        </w:rPr>
        <w:t>的通知》（</w:t>
      </w:r>
      <w:r>
        <w:rPr>
          <w:rFonts w:hint="eastAsia" w:eastAsia="仿宋_GB2312"/>
          <w:sz w:val="32"/>
          <w:szCs w:val="32"/>
          <w:lang w:val="en-US" w:eastAsia="zh-CN"/>
        </w:rPr>
        <w:t>岳财字</w:t>
      </w:r>
      <w:r>
        <w:rPr>
          <w:rFonts w:eastAsia="仿宋_GB2312"/>
          <w:sz w:val="32"/>
          <w:szCs w:val="32"/>
          <w:lang w:val="en-US" w:eastAsia="zh-CN"/>
        </w:rPr>
        <w:t>〔2022〕5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  <w:lang w:val="en-US" w:eastAsia="zh-CN"/>
        </w:rPr>
        <w:t>号）文件的要求，我办对部门整体支出绩效进行了认真自评，具体情况如下：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单位基本情况</w:t>
      </w:r>
    </w:p>
    <w:p>
      <w:pPr>
        <w:widowControl/>
        <w:spacing w:line="600" w:lineRule="exact"/>
        <w:ind w:firstLine="629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</w:t>
      </w:r>
      <w:r>
        <w:rPr>
          <w:rFonts w:hint="eastAsia" w:eastAsia="楷体_GB2312"/>
          <w:b/>
          <w:snapToGrid w:val="0"/>
          <w:kern w:val="0"/>
          <w:sz w:val="32"/>
          <w:szCs w:val="32"/>
          <w:lang w:eastAsia="zh-CN"/>
        </w:rPr>
        <w:t>单位</w:t>
      </w:r>
      <w:r>
        <w:rPr>
          <w:rFonts w:eastAsia="楷体_GB2312"/>
          <w:b/>
          <w:snapToGrid w:val="0"/>
          <w:kern w:val="0"/>
          <w:sz w:val="32"/>
          <w:szCs w:val="32"/>
        </w:rPr>
        <w:t>职能职责</w:t>
      </w:r>
    </w:p>
    <w:p>
      <w:pPr>
        <w:spacing w:line="600" w:lineRule="exact"/>
        <w:ind w:firstLine="645"/>
        <w:rPr>
          <w:rFonts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1．</w:t>
      </w:r>
      <w:r>
        <w:rPr>
          <w:rFonts w:eastAsia="仿宋_GB2312"/>
          <w:sz w:val="32"/>
          <w:szCs w:val="32"/>
          <w:lang w:val="en-US" w:eastAsia="zh-CN"/>
        </w:rPr>
        <w:t>负责向区委巡察工作领导小组、衡阳市委巡察办、衡阳市委巡察组报告巡察工作情况，传达贯彻中央、省委、衡阳市委、南岳区委巡察工作领导小组的决策和部署。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  <w:lang w:val="en-US" w:eastAsia="zh-CN"/>
        </w:rPr>
        <w:t>负责对接省委巡视办、省委巡视组、衡阳市委巡察办、衡阳市委巡察组的日常联络工作，及时报送有关信息资料。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负责区委巡察领导小组与区委巡察组的协调联络。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负责统筹、管理、协调区委巡察组开展工作。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承担区委各项巡察工作的综合协调、调查研究、督察督办、情况通报、制度建设、服务保障等。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负责对巡察发现的普遍性、规律性问题进行综合、分析和研究，形成专题报告，为区委决策服务。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负责巡察发现的问题线索进行集中管理、统一移交、跟踪督办。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负责对省委巡视办、省委巡视组，衡阳市委巡察办、衡阳市委巡察组，区委、区委巡察工作领导小组决定的事项及移交事项进行督办。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负责对巡察工作人员的培训、考核、监督和管理。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负责受理干部群众对巡察工作的举报和反映，并提出处理意见。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负责巡察工作文书的建档、保管和使用。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  <w:lang w:val="en-US" w:eastAsia="zh-CN"/>
        </w:rPr>
        <w:t>负责督促检查区委巡察组反馈意见的落实整改。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负责巡察信息处理和宣传公开工作。</w:t>
      </w:r>
    </w:p>
    <w:p>
      <w:pPr>
        <w:spacing w:line="600" w:lineRule="exact"/>
        <w:ind w:firstLine="645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承办区委、区委巡察工作领导小组交办的其他事项。</w:t>
      </w:r>
    </w:p>
    <w:p>
      <w:pPr>
        <w:widowControl/>
        <w:spacing w:line="600" w:lineRule="exact"/>
        <w:ind w:firstLine="629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0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区委巡察办、巡察组合署办公，根据编办核定，巡察办内设股室2个、下设中心1个，分别是综合室、督查室和巡察事务中心；巡察组设2个组，分别是巡察一组、巡察二组。</w:t>
      </w:r>
    </w:p>
    <w:p>
      <w:pPr>
        <w:widowControl/>
        <w:spacing w:line="600" w:lineRule="exact"/>
        <w:ind w:firstLine="629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年末，我单位共有编制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人，其中行政编制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人，事业编制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人。年末实有在职人员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人，离休人员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2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  <w:lang w:eastAsia="zh-CN"/>
        </w:rPr>
        <w:t>办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  <w:lang w:val="en-US" w:eastAsia="zh-CN"/>
        </w:rPr>
        <w:t>148.84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36.19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主要原因是人员增加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131.55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88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17.29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，主要原因是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受疫情影响和压减非重点、刚性支出要求，我单位厉行节约、严格把关，严控三公经费支出，大力压减公用经费支出。</w:t>
      </w:r>
    </w:p>
    <w:p>
      <w:pPr>
        <w:widowControl/>
        <w:spacing w:line="600" w:lineRule="exact"/>
        <w:ind w:firstLine="642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hint="eastAsia" w:eastAsia="仿宋_GB2312"/>
          <w:sz w:val="32"/>
          <w:szCs w:val="32"/>
          <w:lang w:val="en-US" w:eastAsia="zh-CN"/>
        </w:rPr>
        <w:t>办</w:t>
      </w:r>
      <w:r>
        <w:rPr>
          <w:rFonts w:eastAsia="仿宋_GB2312"/>
          <w:sz w:val="32"/>
          <w:szCs w:val="32"/>
        </w:rPr>
        <w:t>为完成</w:t>
      </w:r>
      <w:r>
        <w:rPr>
          <w:rFonts w:hint="eastAsia" w:eastAsia="仿宋_GB2312"/>
          <w:sz w:val="32"/>
          <w:szCs w:val="32"/>
          <w:lang w:val="en-US" w:eastAsia="zh-CN"/>
        </w:rPr>
        <w:t>巡察</w:t>
      </w:r>
      <w:r>
        <w:rPr>
          <w:rFonts w:eastAsia="仿宋_GB2312"/>
          <w:sz w:val="32"/>
          <w:szCs w:val="32"/>
        </w:rPr>
        <w:t>工作而发生的支出，包括</w:t>
      </w:r>
      <w:r>
        <w:rPr>
          <w:rFonts w:hint="eastAsia" w:eastAsia="仿宋_GB2312"/>
          <w:sz w:val="32"/>
          <w:szCs w:val="32"/>
          <w:lang w:val="en-US" w:eastAsia="zh-CN"/>
        </w:rPr>
        <w:t>常规巡察、特定领域专项巡察</w:t>
      </w:r>
      <w:r>
        <w:rPr>
          <w:rFonts w:eastAsia="仿宋_GB2312"/>
          <w:sz w:val="32"/>
          <w:szCs w:val="32"/>
        </w:rPr>
        <w:t>和</w:t>
      </w:r>
      <w:r>
        <w:rPr>
          <w:rFonts w:hint="eastAsia" w:eastAsia="仿宋_GB2312"/>
          <w:sz w:val="32"/>
          <w:szCs w:val="32"/>
          <w:lang w:val="en-US" w:eastAsia="zh-CN"/>
        </w:rPr>
        <w:t>市级交叉巡察</w:t>
      </w:r>
      <w:r>
        <w:rPr>
          <w:rFonts w:eastAsia="仿宋_GB2312"/>
          <w:sz w:val="32"/>
          <w:szCs w:val="32"/>
        </w:rPr>
        <w:t>。20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  <w:lang w:val="en-US" w:eastAsia="zh-CN"/>
        </w:rPr>
        <w:t>57.32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减少26.53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由于</w:t>
      </w:r>
      <w:r>
        <w:rPr>
          <w:rFonts w:hint="eastAsia" w:eastAsia="仿宋_GB2312"/>
          <w:sz w:val="32"/>
          <w:szCs w:val="32"/>
          <w:lang w:val="en-US" w:eastAsia="zh-CN"/>
        </w:rPr>
        <w:t>第三轮常规巡察于2022年12月启动，暂时尚未完成</w:t>
      </w:r>
      <w:r>
        <w:rPr>
          <w:rFonts w:hint="eastAsia" w:eastAsia="仿宋_GB2312"/>
          <w:sz w:val="32"/>
          <w:szCs w:val="32"/>
          <w:lang w:eastAsia="zh-CN"/>
        </w:rPr>
        <w:t>以及受疫情影响压缩一般性支出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按照市委和区委巡察工作部署，以“发现问题、形成震慑，推动改革、促进发展”作为主要任务，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坚持“严”的主基调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深化政治巡察，忠诚履职，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扎实推进区委巡察工作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，取得一定成效。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稳步推进，有序开展巡察。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组建4个巡察组，对10个区直单位开展常规巡察，共发现问题153条，立行立改问题146条，已完成整改67条，移交问题线索7条，立案4人，组织处理8人，提出巡察建议4条。开展1轮专项巡察，安全生产专项巡察发现问题14条，微故事《专项巡察按下电梯加装工程“复工键”》在“湖南巡视”微信公众号刊发。组建3个巡察组，对6个村（社区）开展常规巡察，发现问题76条，立行立改问题75条，已完成整改55条，移交问题线索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抓实抓细，强化整改成效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去年底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市委巡察办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反馈了我区巡察工作专项检查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整改督查情况，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指出了我区巡察工作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专项检查整改中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存在的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2个方面5个问题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区委及区委巡察工作领导小组高度重视，迅速行动，以问题为导向，以成效为目标，统筹部署整改，强力推进落实。已完成整改5个，长期坚持整改3个。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3、多措并举，提升工作质效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。一是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落实区委主体责任。召开高规格巡察工作会议，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区委书记刘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浪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出席会议并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讲话，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区委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  <w:t>常委会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 w:eastAsia="zh-CN"/>
        </w:rPr>
        <w:t>今年以来研究巡察工作及传达巡视巡察工作精神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 w:eastAsia="zh-CN"/>
        </w:rPr>
        <w:t>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落实有关制度规定</w:t>
      </w:r>
      <w:r>
        <w:rPr>
          <w:rFonts w:hint="default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制定《区委巡察整改评估办法》，细化巡察整改评估指标；落实《巡视巡察工作提示制度》，及时向分管联系被巡察对象的区领导发出提示函，提请其结合职责分工，关注分管联系单位的巡察情况，督促抓好巡察整改和成果运用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提升巡察队伍素质。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区委选配2名干部担任巡察组组长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，通过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公开招考的方式补充1名人员，改善巡察办组人员力量不足的局面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；强化巡前培训和日常培训，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多方位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提升巡察干部的思想政治水平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纪法水平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和业务能力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hint="eastAsia" w:eastAsia="仿宋_GB2312"/>
          <w:sz w:val="32"/>
          <w:szCs w:val="32"/>
          <w:lang w:eastAsia="zh-CN"/>
        </w:rPr>
        <w:t>办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2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由于疫情冲击影响的客观因素，以及牢固树立过紧日子思想，主动压缩非重点、刚性支出的主观因素，导致部分预算项目如</w:t>
      </w:r>
      <w:r>
        <w:rPr>
          <w:rFonts w:hint="eastAsia" w:eastAsia="仿宋_GB2312"/>
          <w:sz w:val="32"/>
          <w:szCs w:val="32"/>
          <w:lang w:val="en-US" w:eastAsia="zh-CN"/>
        </w:rPr>
        <w:t>特定领域专项巡察</w:t>
      </w:r>
      <w:r>
        <w:rPr>
          <w:rFonts w:hint="eastAsia" w:eastAsia="仿宋_GB2312"/>
          <w:sz w:val="32"/>
          <w:szCs w:val="32"/>
          <w:lang w:eastAsia="zh-CN"/>
        </w:rPr>
        <w:t>预算执行情况不理想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</w:rPr>
        <w:t>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hint="eastAsia" w:eastAsia="仿宋_GB2312"/>
          <w:sz w:val="32"/>
          <w:szCs w:val="32"/>
        </w:rPr>
        <w:t>提前谋划，</w:t>
      </w:r>
      <w:r>
        <w:rPr>
          <w:rFonts w:hint="eastAsia" w:eastAsia="仿宋_GB2312"/>
          <w:sz w:val="32"/>
          <w:szCs w:val="32"/>
          <w:lang w:eastAsia="zh-CN"/>
        </w:rPr>
        <w:t>科学编制项目预算，进一步提高预算编制的精确性。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2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（二）部分项目实施与预算执行存在脱节。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受疫情影响，部分项目启动较晚，导致项目验收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晚，预算执行进度偏慢。</w:t>
      </w:r>
      <w:r>
        <w:rPr>
          <w:rFonts w:hint="eastAsia" w:eastAsia="仿宋_GB2312"/>
          <w:sz w:val="32"/>
          <w:szCs w:val="32"/>
          <w:lang w:val="en-US" w:eastAsia="zh-CN"/>
        </w:rPr>
        <w:t>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一是着力加强预算编制管理，科学规划预算编制工作，进一步提高预算编制的科学性、合理性、严谨性和可控性；二是着力加强资金使用管理，在费用报账支付时，严格按照预算规定的费用项目和用途进行资金使用审核、支付</w:t>
      </w:r>
      <w:r>
        <w:rPr>
          <w:rFonts w:hint="eastAsia" w:eastAsia="仿宋_GB2312"/>
          <w:sz w:val="32"/>
          <w:szCs w:val="32"/>
          <w:lang w:val="en-US" w:eastAsia="zh-CN"/>
        </w:rPr>
        <w:t>和</w:t>
      </w:r>
      <w:r>
        <w:rPr>
          <w:rFonts w:hint="eastAsia" w:eastAsia="仿宋_GB2312"/>
          <w:sz w:val="32"/>
          <w:szCs w:val="32"/>
          <w:lang w:eastAsia="zh-CN"/>
        </w:rPr>
        <w:t>财务核算；三是着力加强项目支出调度，加强项目开展事前事中事后的跟踪和支出进度的控制，开展项目绩效评价，科学、合理安排支出项目。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</w:p>
    <w:p>
      <w:pPr>
        <w:pStyle w:val="7"/>
        <w:ind w:firstLine="5120" w:firstLineChars="16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南岳区委巡察办</w:t>
      </w:r>
    </w:p>
    <w:p>
      <w:pPr>
        <w:pStyle w:val="7"/>
        <w:ind w:firstLine="5440" w:firstLineChars="17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2023年2月6日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FCAA"/>
    <w:rsid w:val="1B4F1A0C"/>
    <w:rsid w:val="7793FCAA"/>
    <w:rsid w:val="F66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2023-02-02T17:59:00Z</dcterms:created>
  <dc:creator>kylin</dc:creator>
  <cp:lastModifiedBy>kylin</cp:lastModifiedBy>
  <dcterms:modified xsi:type="dcterms:W3CDTF">2023-02-06T11:29:00Z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55BDBE58F88739509B89DB6334A04657</vt:lpwstr>
  </property>
</Properties>
</file>