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12" w:tblpY="583"/>
        <w:tblOverlap w:val="never"/>
        <w:tblW w:w="99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936"/>
        <w:gridCol w:w="1674"/>
        <w:gridCol w:w="1904"/>
        <w:gridCol w:w="1560"/>
        <w:gridCol w:w="1515"/>
        <w:gridCol w:w="17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南岳区纪委监委办案专项绩效自评表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办案专项经费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刘华峰   5663360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区纪委监委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40.22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受疫情影响财政资金不足限额支付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40.22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受疫情影响财政资金不足限额支付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持续抓好问题线索大起底大清仓行动，加大案件查办力度，重点查处金融、国企、政法、粮食购销、地方融资平台等领域和基础设施建设、公共资源交易等方面腐败问题。</w:t>
            </w:r>
          </w:p>
        </w:tc>
        <w:tc>
          <w:tcPr>
            <w:tcW w:w="4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始终坚持“严”的主基调，保持“零容忍”态度反腐惩恶，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查办违纪违法案件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查办违纪违法案件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26件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查处金融、国企、政法、粮食购销、地方融资平台等领域和基础设施建设、公共资源交易等方面腐败问题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案件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结案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按计划执行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1-12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1-12月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办案费用开支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=50万元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受疫情影响财政资金不足限额支付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保持惩治腐败高压态势，优化政治生态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持续优化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持续优化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社会群众满意度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≥96%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97%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tbl>
      <w:tblPr>
        <w:tblStyle w:val="7"/>
        <w:tblpPr w:leftFromText="180" w:rightFromText="180" w:vertAnchor="text" w:horzAnchor="page" w:tblpX="1312" w:tblpY="583"/>
        <w:tblOverlap w:val="never"/>
        <w:tblW w:w="100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936"/>
        <w:gridCol w:w="1674"/>
        <w:gridCol w:w="1739"/>
        <w:gridCol w:w="1725"/>
        <w:gridCol w:w="1425"/>
        <w:gridCol w:w="1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0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南岳区纪委监委部门预算专项绩效自评表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部门预算专项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刘华峰   5663360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区纪委监委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95.46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受疫情影响财政资金不足限额支付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95.46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受疫情影响财政资金不足限额支付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5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紧盯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“三优一清”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目标，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着力构建海晏河清的政治生态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全力打造清廉南岳样板，全面推进我区纪检监察工作再上新台阶。</w:t>
            </w:r>
          </w:p>
        </w:tc>
        <w:tc>
          <w:tcPr>
            <w:tcW w:w="5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聚焦“三个环境”强化政治监督，紧紧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围绕省委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“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三高四新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”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战略定位和使命任务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、市委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“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三强一化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”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建设，锚定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“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三优一清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”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扎实推进清廉南岳建设，以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zh-CN" w:eastAsia="zh-CN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质量纪检监察工作护航全区经济社会高质量发展。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组织廉政教育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全力推动清廉创建、组织多形式廉政教育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党风、政风督查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70次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围绕旅游综治、森林防火、安全生产等开展监督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受理信访举报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一信多投、重复访、越级访增加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派驻纪检组日常运转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=6个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廉政警示效果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98%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99%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督查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整改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98%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处理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98%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99%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改进派驻工作，提高派驻组的监督效能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按计划执行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1-12月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1-12月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部门预算专项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=103万元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95.46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受疫情影响财政资金不足限额支付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维护群众利益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得到维护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得到维护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得到维护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持续优化政治生态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持续优化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持续优化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持续优化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社会群众满意度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≥96%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97%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南岳区纪委监委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告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40" w:lineRule="exact"/>
        <w:ind w:firstLine="645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 国务院关于全面实施预算绩效管理的意见》的文件精神，我</w:t>
      </w:r>
      <w:r>
        <w:rPr>
          <w:rFonts w:hint="eastAsia" w:eastAsia="仿宋_GB2312"/>
          <w:sz w:val="32"/>
          <w:szCs w:val="32"/>
          <w:lang w:val="en-US" w:eastAsia="zh-CN"/>
        </w:rPr>
        <w:t>委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firstLine="630" w:firstLineChars="196"/>
        <w:jc w:val="left"/>
        <w:textAlignment w:val="auto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区纪委主要任务是维护党的章程和其他党内法规，检查党的路线、方针、政策和决议的执行情况，协助党委加强党风建设和组织协调反腐败工作。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区监委主要任务维护宪法和法律法规权威；依法监察公职人员行使公权力情况，调查职务违法和职务犯罪；开展廉政建设和反腐败工作。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firstLine="630" w:firstLineChars="196"/>
        <w:jc w:val="left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南岳纪委监委合署办公，实行两块牌子一套人马，下设财务监察所，机关内设8室,包括：办公室、党风政风监督室、案件监督管理室、案件审理室、信访室、第一纪检监察室、第二纪检监察室、纪检监察干部监督室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firstLine="630" w:firstLineChars="196"/>
        <w:jc w:val="left"/>
        <w:textAlignment w:val="auto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年末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，我委编制人数37人，其中行政编制17人，全额事业编制20人</w:t>
      </w:r>
      <w:r>
        <w:rPr>
          <w:rFonts w:eastAsia="仿宋_GB2312"/>
          <w:sz w:val="32"/>
          <w:szCs w:val="32"/>
        </w:rPr>
        <w:t>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36</w:t>
      </w:r>
      <w:r>
        <w:rPr>
          <w:rFonts w:eastAsia="仿宋_GB2312"/>
          <w:sz w:val="32"/>
          <w:szCs w:val="32"/>
        </w:rPr>
        <w:t>人，离</w:t>
      </w:r>
      <w:r>
        <w:rPr>
          <w:rFonts w:hint="eastAsia" w:eastAsia="仿宋_GB2312"/>
          <w:sz w:val="32"/>
          <w:szCs w:val="32"/>
          <w:lang w:val="en-US" w:eastAsia="zh-CN"/>
        </w:rPr>
        <w:t>退</w:t>
      </w:r>
      <w:r>
        <w:rPr>
          <w:rFonts w:eastAsia="仿宋_GB2312"/>
          <w:sz w:val="32"/>
          <w:szCs w:val="32"/>
        </w:rPr>
        <w:t>休人员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tabs>
          <w:tab w:val="left" w:pos="2296"/>
        </w:tabs>
        <w:kinsoku/>
        <w:wordWrap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  <w:lang w:val="en-US" w:eastAsia="zh-CN"/>
        </w:rPr>
        <w:t>委</w:t>
      </w:r>
      <w:r>
        <w:rPr>
          <w:rFonts w:eastAsia="仿宋_GB2312"/>
          <w:sz w:val="32"/>
          <w:szCs w:val="32"/>
        </w:rPr>
        <w:t>机构正常运转、完成日常工作任务而发生的各项支出，包括用于在职和离退休人员基本工资、津贴补贴等人员经费以及办公费、印刷费、水电费、办公设备购置等日常公用经费。20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  <w:lang w:val="en-US" w:eastAsia="zh-CN"/>
        </w:rPr>
        <w:t>787.35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val="en-US" w:eastAsia="zh-CN"/>
        </w:rPr>
        <w:t>增加136.64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694.33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88.19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eastAsia="仿宋_GB2312"/>
          <w:sz w:val="32"/>
          <w:szCs w:val="32"/>
        </w:rPr>
        <w:t>较上年</w:t>
      </w:r>
      <w:r>
        <w:rPr>
          <w:rFonts w:hint="eastAsia" w:eastAsia="仿宋_GB2312"/>
          <w:sz w:val="32"/>
          <w:szCs w:val="32"/>
          <w:lang w:val="en-US" w:eastAsia="zh-CN"/>
        </w:rPr>
        <w:t>增加144.24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主要原因是发放2021年、2022年绩效奖、医保铺底等人员经费增加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93.02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11.81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eastAsia="仿宋_GB2312"/>
          <w:sz w:val="32"/>
          <w:szCs w:val="32"/>
        </w:rPr>
        <w:t>较上年</w:t>
      </w:r>
      <w:r>
        <w:rPr>
          <w:rFonts w:hint="eastAsia" w:eastAsia="仿宋_GB2312"/>
          <w:sz w:val="32"/>
          <w:szCs w:val="32"/>
          <w:lang w:val="en-US" w:eastAsia="zh-CN"/>
        </w:rPr>
        <w:t>减少7.6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主要原因是财政年初调整公用经费预算。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firstLine="643" w:firstLineChars="200"/>
        <w:textAlignment w:val="auto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hint="eastAsia" w:eastAsia="仿宋_GB2312"/>
          <w:sz w:val="32"/>
          <w:szCs w:val="32"/>
          <w:lang w:val="en-US" w:eastAsia="zh-CN"/>
        </w:rPr>
        <w:t>委</w:t>
      </w: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  <w:lang w:val="en-US" w:eastAsia="zh-CN"/>
        </w:rPr>
        <w:t>保障</w:t>
      </w:r>
      <w:r>
        <w:rPr>
          <w:rFonts w:eastAsia="仿宋_GB2312"/>
          <w:sz w:val="32"/>
          <w:szCs w:val="32"/>
        </w:rPr>
        <w:t>机构正常运转、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业务工作</w:t>
      </w:r>
      <w:r>
        <w:rPr>
          <w:rFonts w:eastAsia="仿宋_GB2312"/>
          <w:sz w:val="32"/>
          <w:szCs w:val="32"/>
        </w:rPr>
        <w:t>任务而发生的各项支出。业务工作经费支出主要用于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开展调查职务违法和职务犯罪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党风政风监督检查、廉政教育、信访维稳、涉密内网</w:t>
      </w:r>
      <w:r>
        <w:rPr>
          <w:rFonts w:eastAsia="仿宋_GB2312"/>
          <w:sz w:val="32"/>
          <w:szCs w:val="32"/>
        </w:rPr>
        <w:t>等信息网络建设和维护等方面。20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  <w:lang w:val="en-US" w:eastAsia="zh-CN"/>
        </w:rPr>
        <w:t>186.24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156.49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办案谈话室、食堂建设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eastAsia="zh-CN"/>
        </w:rPr>
        <w:t>项目建设</w:t>
      </w:r>
      <w:r>
        <w:rPr>
          <w:rFonts w:hint="eastAsia" w:eastAsia="仿宋_GB2312"/>
          <w:sz w:val="32"/>
          <w:szCs w:val="32"/>
          <w:lang w:val="en-US" w:eastAsia="zh-CN"/>
        </w:rPr>
        <w:t>减少及缩减年初项目预算。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line="540" w:lineRule="exact"/>
        <w:ind w:leftChars="0"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2022年，南岳区纪委监委坚持以习近平新时代中国特色社会主义思想为指导，认真学习宣传党的二十大精神，深入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贯彻落实赵乐际同志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来湘考察调研讲话精神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中央、省市区委重大决策部署，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聚焦</w:t>
      </w:r>
      <w:r>
        <w:rPr>
          <w:rFonts w:hint="eastAsia" w:ascii="Times New Roman" w:hAnsi="Times New Roman" w:eastAsia="方正仿宋简体" w:cs="Times New Roman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“三个环境”强化政治监督，紧紧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围绕省委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三高四新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战略定位和使命任务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、市委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三强一化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建设，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锚定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三优一清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扎实推进清廉南岳建设</w:t>
      </w:r>
      <w:r>
        <w:rPr>
          <w:rFonts w:hint="eastAsia" w:ascii="Times New Roman" w:hAnsi="Times New Roman" w:eastAsia="方正仿宋简体" w:cs="Times New Roman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高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质量纪检监察工作护航全区经济社会高质量发展。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（一）铁纪监督保持“三个环境”。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出台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《南岳区优化营商环境“九落实”》《南岳区优化营商环境工作测评办法》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等举措，完善重点项目和“五制一平台”“五单一图谱”“五赋一聚焦”工作机制，重点整治不作为、乱作为，全力优化营商环境。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发现查处乡村振兴领域腐败和作风问题线索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41条、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“一卡通”问题线索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3条，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处理处分44人，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退还群众资金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万元。</w:t>
      </w:r>
      <w:r>
        <w:rPr>
          <w:rFonts w:hint="eastAsia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精准监督守护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粮食安全</w:t>
      </w:r>
      <w:r>
        <w:rPr>
          <w:rFonts w:hint="eastAsia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派出专项监督组摸清</w:t>
      </w:r>
      <w:r>
        <w:rPr>
          <w:rFonts w:hint="eastAsia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底数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，下发《督办函》</w:t>
      </w:r>
      <w:r>
        <w:rPr>
          <w:rFonts w:hint="eastAsia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2个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，督促早稻育秧</w:t>
      </w:r>
      <w:r>
        <w:rPr>
          <w:rFonts w:hint="eastAsia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等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问题立行立改到位</w:t>
      </w:r>
      <w:r>
        <w:rPr>
          <w:rFonts w:hint="eastAsia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推动粮食存储费用保障等3项制度有力落实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尽锐出战织密疫情防控“监督网”，成立4个暗访督查组，1个线索核查追责问责组，开展督查20余批次，印发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通报2</w:t>
      </w:r>
      <w:r>
        <w:rPr>
          <w:rFonts w:hint="eastAsia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5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期</w:t>
      </w:r>
      <w:r>
        <w:rPr>
          <w:rFonts w:hint="eastAsia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《督办函》10份，通报批评单位</w:t>
      </w:r>
      <w:r>
        <w:rPr>
          <w:rFonts w:hint="eastAsia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0个，</w:t>
      </w:r>
      <w:r>
        <w:rPr>
          <w:rFonts w:hint="eastAsia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处理处分16</w:t>
      </w:r>
      <w:r>
        <w:rPr>
          <w:rFonts w:hint="default" w:ascii="Times New Roman" w:hAnsi="Times New Roman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人</w:t>
      </w:r>
      <w:r>
        <w:rPr>
          <w:rFonts w:hint="eastAsia" w:eastAsia="方正仿宋简体" w:cs="Times New Roman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为南岳“零疫情”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做出积极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贡献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（二）多措并举优化干部作风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kern w:val="44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派出3个明察暗访组常态化开展督查，推动解决群众急难愁盼问题60余个，办结群众投诉3起。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设立传奇旅游、妇幼服务中心、政务服务中心、红星村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作风监测点4个，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及时处理作风建设方面问题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6个，推动解决群众合理诉求4个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精心拍摄《清廉端午》等宣传短片4个，不断加强廉洁教育警示。紧盯春节、五一、端午等关键节点开展监督检查10余批次，坚决纠正不正之风。出台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南岳区关于力戒“庸懒贪”激励“闯创干”优化干部作风的实施方案》《南岳区优化干部作风“九条措施”》《南岳区未担任领导职务的区管干部管理暂行办法》《关于进一步加强和规范请示报告工作的实施办法》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等7个方面硬核举措，在森林防火、疫情防控等底线工作中检验干部作风，印发作风督查通报5期，发现作风不实问题20个，处理处分12人。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（三）靶向施策深化专项整治。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向县级领导报送《工作提示》，督促各单位在醒目位置公布清风账号，精心拍摄推送违规收送红包礼金警示短片——《王局长之“惑”》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组织签署《承诺书》1521份，全覆盖、无盲区开展集中谈心谈话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制发安全隐患督办函 15 份，通报批评行业单位2个，自建房排查录入完成率达100%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。出台“洞庭清波”专项整改监督方案，开展全覆盖实地督查3批次，召开工作调度会暨集体约谈会，督促3处问题按进度整改到位</w:t>
      </w:r>
      <w:r>
        <w:rPr>
          <w:rFonts w:hint="default" w:ascii="Times New Roman" w:hAnsi="Times New Roman" w:eastAsia="方正仿宋简体" w:cs="Times New Roman"/>
          <w:bCs/>
          <w:color w:val="auto"/>
          <w:sz w:val="32"/>
          <w:szCs w:val="32"/>
          <w:lang w:eastAsia="zh-CN"/>
        </w:rPr>
        <w:t>，处理6人</w:t>
      </w:r>
      <w:r>
        <w:rPr>
          <w:rFonts w:hint="eastAsia" w:ascii="Times New Roman" w:hAnsi="Times New Roman" w:eastAsia="方正仿宋简体" w:cs="Times New Roman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（四）畅通民意增进民生福祉。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深化检举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举报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平台运用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加强对机关承办室、各派驻纪检监察组、乡镇（街道）纪（工）委平台运用的指导检查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强化宣传引导，精心制作发放图文并茂的宣传手册，推送《条例》《规则》图解，促使各单位积极学习。开展“依规检举控告，共建清廉南岳”信访宣传周活动，发放资料4000余册，接受咨询200余人次，现场受理信访件2件，获得群众好评。坚持“五度”理念和“五个一”的工作模式，落实领导干部定期接访制度，开展信访积案动态清零活动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信访举报历年办结率100%，无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历年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信访积案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4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（五）严字当头筑牢反腐堤坝。</w:t>
      </w:r>
      <w:r>
        <w:rPr>
          <w:rFonts w:hint="eastAsia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始终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坚持“严”的主基调，保持“零容忍”态度反腐惩恶。今年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处置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问题线索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36条，已办结19条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立案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查处21人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深化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zh-CN" w:eastAsia="zh-CN"/>
        </w:rPr>
        <w:t>以案为戒、以案促改、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以案促治，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 w:eastAsia="zh-CN"/>
        </w:rPr>
        <w:t>每查办一起案件、开展一次剖析、印发一个通报、开展一次警示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zh-CN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精心拍摄制作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区内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首部警示教育片《底线》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纪委全会上播放，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并在各单位巡回播放80余场次，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引起强烈反响。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zh-CN"/>
        </w:rPr>
        <w:t>督促和会同各单位深入开展廉政风险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zh-CN"/>
        </w:rPr>
        <w:t>排查，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shd w:val="clear" w:color="auto" w:fill="FFFFFF"/>
          <w:lang w:val="en-US" w:eastAsia="zh-CN"/>
        </w:rPr>
        <w:t>制定正面负面清单，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全面扎紧扎牢制度“笼子”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科学防范和化解廉政风险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（六）全域推进绘就清廉画卷。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拍摄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了《底线》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《清风端午》《家风不染尘 清廉惠久远》等5部警示教育片，绘制清廉书画、剪纸等艺术作品2000余件。清廉南岳建设经验被新华网、中国纪检监察报、中国妇女杂志等权威媒体推介。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率先开展“清廉家书”征集活动，征集家书170余封。全覆盖开展“暖心家访·温情助廉”活动，常态化开展廉情家访。编印《南岳廉政人物》《家风家训家规集》，家风家训馆、南岳美术馆专题展览“家风家训”书画作品280余幅。组织300余名正科实职以上领导干部、科局级单位领导班子成员及家属召开廉情恳谈会，各单位全覆盖开展廉情恳谈会65场次，参会家属1200余名。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优化升级二贤祠、邺侯书院廉政文化教育基地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，打造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磨镜台、平安石、省心亭等廉洁文旅地标，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提质升级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家风家训馆和御街古戏台。打造水濂村“清风明月”“传统好家风”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红星村的“红星闪闪”“清风习习”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一村一主题、一村一特色”美丽乡村建设，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“廉”元素巧妙融入乡村旅游。把邺侯书院、南岳游干班陈列馆、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“平安石”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等红廉文化景点串珠成链，成功推出“廉洁征程·永葆初心”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红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廉文化旅游线路，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接待团队300多批次</w:t>
      </w:r>
      <w:r>
        <w:rPr>
          <w:rFonts w:hint="default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（七）严管厚爱淬炼铁军筋骨。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深入学习党的二十大精神，组织开展专题研讨，撰写发表学习心得30余篇。打造清廉机关文化阵地、党建文化阵地，开展“亲情助廉”等主题活动，创新“九个一”政治生日新模式，被衡阳智慧党建网予以推介。开展优化干部作风专题研讨、组织“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走流程、解难题、优服务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主题党日活动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，不断优化全区营商环境。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组织开展“每周一课”和专题培训20余次、专题测试5次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，累计受训700余人次，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强化思想淬炼、政治历练、专业训练。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val="en-US" w:eastAsia="zh-CN" w:bidi="ar-SA"/>
        </w:rPr>
        <w:t>分批次抽调9名纪检监察干部参与上级巡察、专案办理，工作表现获得到上级好评，工作能力和水平得到全面提升。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通过前述对我</w:t>
      </w:r>
      <w:r>
        <w:rPr>
          <w:rFonts w:hint="eastAsia" w:eastAsia="仿宋_GB2312"/>
          <w:sz w:val="32"/>
          <w:szCs w:val="32"/>
          <w:lang w:val="en-US" w:eastAsia="zh-CN"/>
        </w:rPr>
        <w:t>委</w:t>
      </w:r>
      <w:r>
        <w:rPr>
          <w:rFonts w:eastAsia="仿宋_GB2312"/>
          <w:sz w:val="32"/>
          <w:szCs w:val="32"/>
        </w:rPr>
        <w:t>整体支出情况的分析，反映出目前整体支出主要在预算执行方面还存在一些问题和不足：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Calibri" w:hAnsi="Calibri" w:eastAsia="楷体_GB2312" w:cs="Times New Roman"/>
          <w:b w:val="0"/>
          <w:bCs/>
          <w:sz w:val="32"/>
          <w:szCs w:val="32"/>
          <w:lang w:val="en-US" w:eastAsia="zh-CN"/>
        </w:rPr>
        <w:t>1、</w:t>
      </w:r>
      <w:r>
        <w:rPr>
          <w:rFonts w:hint="eastAsia" w:eastAsia="仿宋_GB2312"/>
          <w:sz w:val="32"/>
          <w:szCs w:val="32"/>
          <w:lang w:eastAsia="zh-CN"/>
        </w:rPr>
        <w:t>由于疫情冲击</w:t>
      </w:r>
      <w:r>
        <w:rPr>
          <w:rFonts w:hint="eastAsia" w:eastAsia="仿宋_GB2312"/>
          <w:sz w:val="32"/>
          <w:szCs w:val="32"/>
          <w:lang w:val="en-US" w:eastAsia="zh-CN"/>
        </w:rPr>
        <w:t>的</w:t>
      </w:r>
      <w:r>
        <w:rPr>
          <w:rFonts w:hint="eastAsia" w:eastAsia="仿宋_GB2312"/>
          <w:sz w:val="32"/>
          <w:szCs w:val="32"/>
          <w:lang w:eastAsia="zh-CN"/>
        </w:rPr>
        <w:t>影响</w:t>
      </w:r>
      <w:r>
        <w:rPr>
          <w:rFonts w:hint="eastAsia" w:eastAsia="仿宋_GB2312"/>
          <w:sz w:val="32"/>
          <w:szCs w:val="32"/>
          <w:lang w:val="en-US" w:eastAsia="zh-CN"/>
        </w:rPr>
        <w:t>财政资金不足，实行限额支付</w:t>
      </w:r>
      <w:r>
        <w:rPr>
          <w:rFonts w:hint="eastAsia" w:eastAsia="仿宋_GB2312"/>
          <w:sz w:val="32"/>
          <w:szCs w:val="32"/>
          <w:lang w:eastAsia="zh-CN"/>
        </w:rPr>
        <w:t>，部分预算指标未能在当年形成支出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2、预算编制精细度有待加强，没有按照预算的最末级明细进行预算支出管理。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进一步加强对预算执行的管理，加大对预算编制与执行的监管力度，提高预算资金的使用效率。同时，强化对预算资金的绩效管理，对受客观因素影响的预算项目及时做出调整，科学合理使用，促进预算资金的使用尽可能发挥其较大的效能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pStyle w:val="13"/>
        <w:ind w:firstLine="4160" w:firstLineChars="1300"/>
        <w:rPr>
          <w:rFonts w:hint="eastAsia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  <w:t>中共南岳区纪律检查委员会</w:t>
      </w:r>
    </w:p>
    <w:p>
      <w:pPr>
        <w:pStyle w:val="13"/>
        <w:ind w:firstLine="5440" w:firstLineChars="1700"/>
        <w:rPr>
          <w:rFonts w:hint="default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color w:val="auto"/>
          <w:kern w:val="2"/>
          <w:sz w:val="32"/>
          <w:szCs w:val="32"/>
          <w:lang w:val="en-US" w:eastAsia="zh-CN" w:bidi="ar-SA"/>
        </w:rPr>
        <w:t>2023年2月6日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27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OTUzZDdjNTY1OWU2ODFhNjg2ZjdkM2EzMzAxNDIifQ=="/>
  </w:docVars>
  <w:rsids>
    <w:rsidRoot w:val="58E06247"/>
    <w:rsid w:val="00881676"/>
    <w:rsid w:val="05A65762"/>
    <w:rsid w:val="07B13DEF"/>
    <w:rsid w:val="090F1230"/>
    <w:rsid w:val="12F56FB5"/>
    <w:rsid w:val="149B2A0B"/>
    <w:rsid w:val="1E0566A0"/>
    <w:rsid w:val="20E67351"/>
    <w:rsid w:val="26C001A6"/>
    <w:rsid w:val="274E2F53"/>
    <w:rsid w:val="28606852"/>
    <w:rsid w:val="29121970"/>
    <w:rsid w:val="29EF7861"/>
    <w:rsid w:val="30BE2A8F"/>
    <w:rsid w:val="323170CC"/>
    <w:rsid w:val="3FD24498"/>
    <w:rsid w:val="429F3322"/>
    <w:rsid w:val="42B05C29"/>
    <w:rsid w:val="43102595"/>
    <w:rsid w:val="44D305D3"/>
    <w:rsid w:val="4A1504A0"/>
    <w:rsid w:val="4D045A20"/>
    <w:rsid w:val="5021278D"/>
    <w:rsid w:val="52C14B04"/>
    <w:rsid w:val="55A02E49"/>
    <w:rsid w:val="58E06247"/>
    <w:rsid w:val="5C293386"/>
    <w:rsid w:val="5DA220D3"/>
    <w:rsid w:val="64A2122F"/>
    <w:rsid w:val="6713109A"/>
    <w:rsid w:val="67B42849"/>
    <w:rsid w:val="6F587DB3"/>
    <w:rsid w:val="71BD756A"/>
    <w:rsid w:val="751B6785"/>
    <w:rsid w:val="75920CC7"/>
    <w:rsid w:val="76E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cs="宋体"/>
      <w:b/>
      <w:bCs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11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2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4343</Words>
  <Characters>4570</Characters>
  <Lines>0</Lines>
  <Paragraphs>0</Paragraphs>
  <TotalTime>22</TotalTime>
  <ScaleCrop>false</ScaleCrop>
  <LinksUpToDate>false</LinksUpToDate>
  <CharactersWithSpaces>4584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2023-02-06T02:30:00Z</cp:lastPrinted>
  <dcterms:modified xsi:type="dcterms:W3CDTF">2023-02-08T03:25:37Z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615A613C37F84074B26DEDAE95B66D6C</vt:lpwstr>
  </property>
</Properties>
</file>