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jc w:val="center"/>
        <w:rPr>
          <w:rFonts w:eastAsia="方正小标宋_GBK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南岳区风景名胜资源管理中心</w:t>
      </w:r>
      <w:r>
        <w:rPr>
          <w:rFonts w:ascii="方正小标宋简体" w:hAnsi="方正小标宋简体" w:eastAsia="方正小标宋简体" w:cs="方正小标宋简体"/>
          <w:sz w:val="44"/>
          <w:szCs w:val="44"/>
        </w:rPr>
        <w:t>2022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年度部门整体支出绩效评价报告</w:t>
      </w: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</w:p>
    <w:p>
      <w:pPr>
        <w:spacing w:line="520" w:lineRule="exact"/>
        <w:ind w:firstLine="645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根据《中共中央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>国务院关于全面实施预算绩效管理的意见》的文件精神，我中心对部门整体支出进行了绩效评价，现报告如下：</w:t>
      </w:r>
    </w:p>
    <w:p>
      <w:pPr>
        <w:spacing w:line="520" w:lineRule="exact"/>
        <w:ind w:firstLine="640" w:firstLineChars="200"/>
        <w:rPr>
          <w:rFonts w:ascii="黑体" w:hAnsi="Times New Roman" w:eastAsia="黑体"/>
          <w:sz w:val="32"/>
          <w:szCs w:val="32"/>
        </w:rPr>
      </w:pPr>
      <w:r>
        <w:rPr>
          <w:rFonts w:hint="eastAsia" w:ascii="黑体" w:hAnsi="Times New Roman" w:eastAsia="黑体"/>
          <w:sz w:val="32"/>
          <w:szCs w:val="32"/>
        </w:rPr>
        <w:t>一、部门（单位）基本情况</w:t>
      </w:r>
    </w:p>
    <w:p>
      <w:pPr>
        <w:widowControl/>
        <w:spacing w:line="520" w:lineRule="exact"/>
        <w:ind w:firstLine="630" w:firstLineChars="196"/>
        <w:jc w:val="left"/>
        <w:rPr>
          <w:rFonts w:eastAsia="楷体_GB2312"/>
          <w:b/>
          <w:snapToGrid w:val="0"/>
          <w:kern w:val="0"/>
          <w:sz w:val="32"/>
          <w:szCs w:val="32"/>
        </w:rPr>
      </w:pPr>
      <w:r>
        <w:rPr>
          <w:rFonts w:hint="eastAsia" w:eastAsia="楷体_GB2312"/>
          <w:b/>
          <w:snapToGrid w:val="0"/>
          <w:kern w:val="0"/>
          <w:sz w:val="32"/>
          <w:szCs w:val="32"/>
        </w:rPr>
        <w:t>（一）部门职能职责</w:t>
      </w:r>
    </w:p>
    <w:p>
      <w:pPr>
        <w:spacing w:line="520" w:lineRule="exact"/>
        <w:ind w:firstLine="640" w:firstLineChars="200"/>
        <w:rPr>
          <w:rFonts w:ascii="Times New Roman" w:hAnsi="仿宋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1</w:t>
      </w:r>
      <w:r>
        <w:rPr>
          <w:rFonts w:hint="eastAsia" w:ascii="Times New Roman" w:hAnsi="仿宋" w:eastAsia="仿宋"/>
          <w:sz w:val="32"/>
          <w:szCs w:val="32"/>
        </w:rPr>
        <w:t>、贯彻执行《湖南省南岳衡山风景名胜区保护条例》，参与《南岳衡山风景名胜区总体规划》的监督实施。</w:t>
      </w:r>
    </w:p>
    <w:p>
      <w:pPr>
        <w:spacing w:line="520" w:lineRule="exact"/>
        <w:ind w:firstLine="640" w:firstLineChars="200"/>
        <w:rPr>
          <w:rFonts w:ascii="Times New Roman" w:hAnsi="仿宋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2</w:t>
      </w:r>
      <w:r>
        <w:rPr>
          <w:rFonts w:hint="eastAsia" w:ascii="Times New Roman" w:hAnsi="仿宋" w:eastAsia="仿宋"/>
          <w:sz w:val="32"/>
          <w:szCs w:val="32"/>
        </w:rPr>
        <w:t>、协助做好全区风景名胜资源保护管理考核工作，协调相关部门切实保护好风景区内的山形地貌、自然风貌、水体、古树名木、珍稀动植物，维护生态平衡。</w:t>
      </w:r>
    </w:p>
    <w:p>
      <w:pPr>
        <w:spacing w:line="520" w:lineRule="exact"/>
        <w:ind w:firstLine="640" w:firstLineChars="200"/>
        <w:rPr>
          <w:rFonts w:ascii="Times New Roman" w:hAnsi="仿宋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3</w:t>
      </w:r>
      <w:r>
        <w:rPr>
          <w:rFonts w:hint="eastAsia" w:ascii="Times New Roman" w:hAnsi="仿宋" w:eastAsia="仿宋"/>
          <w:sz w:val="32"/>
          <w:szCs w:val="32"/>
        </w:rPr>
        <w:t>、负责全区风景名胜资源的现状调查、核实、评估和建档，提出综合性保护管理意见，落实保护管理措施。参与风景名区之间的信息交流和专题调研。</w:t>
      </w:r>
    </w:p>
    <w:p>
      <w:pPr>
        <w:spacing w:line="520" w:lineRule="exact"/>
        <w:ind w:firstLine="640" w:firstLineChars="200"/>
        <w:rPr>
          <w:rFonts w:ascii="Times New Roman" w:hAnsi="仿宋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4</w:t>
      </w:r>
      <w:r>
        <w:rPr>
          <w:rFonts w:hint="eastAsia" w:ascii="Times New Roman" w:hAnsi="仿宋" w:eastAsia="仿宋"/>
          <w:sz w:val="32"/>
          <w:szCs w:val="32"/>
        </w:rPr>
        <w:t>、负责全区风景名胜资源保护管理的法制宣传教育工作。</w:t>
      </w:r>
    </w:p>
    <w:p>
      <w:pPr>
        <w:spacing w:line="520" w:lineRule="exact"/>
        <w:ind w:firstLine="640" w:firstLineChars="200"/>
        <w:rPr>
          <w:rFonts w:ascii="Times New Roman" w:hAnsi="仿宋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5</w:t>
      </w:r>
      <w:r>
        <w:rPr>
          <w:rFonts w:hint="eastAsia" w:ascii="Times New Roman" w:hAnsi="仿宋" w:eastAsia="仿宋"/>
          <w:sz w:val="32"/>
          <w:szCs w:val="32"/>
        </w:rPr>
        <w:t>、组织协调、申报世界文化与自然遗产工作。</w:t>
      </w:r>
    </w:p>
    <w:p>
      <w:pPr>
        <w:spacing w:line="520" w:lineRule="exact"/>
        <w:ind w:firstLine="640" w:firstLineChars="200"/>
        <w:rPr>
          <w:rFonts w:ascii="Times New Roman" w:hAnsi="仿宋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6</w:t>
      </w:r>
      <w:r>
        <w:rPr>
          <w:rFonts w:hint="eastAsia" w:ascii="Times New Roman" w:hAnsi="仿宋" w:eastAsia="仿宋"/>
          <w:sz w:val="32"/>
          <w:szCs w:val="32"/>
        </w:rPr>
        <w:t>、协助做好全区风景名胜资源保护补偿费的审核、管理和发放工作。</w:t>
      </w:r>
    </w:p>
    <w:p>
      <w:pPr>
        <w:spacing w:line="520" w:lineRule="exact"/>
        <w:ind w:firstLine="640" w:firstLineChars="200"/>
        <w:rPr>
          <w:rFonts w:ascii="Times New Roman" w:hAnsi="仿宋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7</w:t>
      </w:r>
      <w:r>
        <w:rPr>
          <w:rFonts w:hint="eastAsia" w:ascii="Times New Roman" w:hAnsi="仿宋" w:eastAsia="仿宋"/>
          <w:sz w:val="32"/>
          <w:szCs w:val="32"/>
        </w:rPr>
        <w:t>、参与风景名胜区内建设项目和村居民建房的选址、定点规划方案的审查及竣工验收的事务性工作。</w:t>
      </w:r>
    </w:p>
    <w:p>
      <w:pPr>
        <w:spacing w:line="520" w:lineRule="exact"/>
        <w:ind w:firstLine="640" w:firstLineChars="200"/>
        <w:rPr>
          <w:rFonts w:ascii="Times New Roman" w:hAnsi="仿宋" w:eastAsia="仿宋"/>
          <w:sz w:val="32"/>
          <w:szCs w:val="32"/>
        </w:rPr>
      </w:pPr>
      <w:r>
        <w:rPr>
          <w:rFonts w:ascii="Times New Roman" w:hAnsi="仿宋" w:eastAsia="仿宋"/>
          <w:sz w:val="32"/>
          <w:szCs w:val="32"/>
        </w:rPr>
        <w:t>8</w:t>
      </w:r>
      <w:r>
        <w:rPr>
          <w:rFonts w:hint="eastAsia" w:ascii="Times New Roman" w:hAnsi="仿宋" w:eastAsia="仿宋"/>
          <w:sz w:val="32"/>
          <w:szCs w:val="32"/>
        </w:rPr>
        <w:t>、完成区林业局交办的其它任务。</w:t>
      </w:r>
    </w:p>
    <w:p>
      <w:pPr>
        <w:widowControl/>
        <w:spacing w:line="52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（二）机构设置情况</w:t>
      </w:r>
    </w:p>
    <w:p>
      <w:pPr>
        <w:spacing w:line="520" w:lineRule="exact"/>
        <w:ind w:firstLine="640" w:firstLineChars="200"/>
        <w:rPr>
          <w:rFonts w:ascii="Times New Roman" w:hAnsi="Times New Roman" w:eastAsia="仿宋_GB2312"/>
          <w:color w:val="000000"/>
          <w:kern w:val="0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南岳区风景名胜资源管理中心</w:t>
      </w:r>
      <w:r>
        <w:rPr>
          <w:rFonts w:hint="eastAsia" w:ascii="Times New Roman" w:hAnsi="仿宋" w:eastAsia="仿宋"/>
          <w:sz w:val="32"/>
          <w:szCs w:val="32"/>
        </w:rPr>
        <w:t>是全额拨款的事业单位，根据编办核定，我单位内设股室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仿宋" w:eastAsia="仿宋"/>
          <w:sz w:val="32"/>
          <w:szCs w:val="32"/>
        </w:rPr>
        <w:t>个，分别是综合股、业务股。</w:t>
      </w:r>
    </w:p>
    <w:p>
      <w:pPr>
        <w:widowControl/>
        <w:spacing w:line="520" w:lineRule="exact"/>
        <w:ind w:firstLine="630" w:firstLineChars="196"/>
        <w:jc w:val="left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（三）人员编制情况</w:t>
      </w:r>
    </w:p>
    <w:p>
      <w:pPr>
        <w:spacing w:line="520" w:lineRule="exact"/>
        <w:ind w:firstLine="640" w:firstLineChars="200"/>
        <w:rPr>
          <w:rFonts w:ascii="Times New Roman" w:hAnsi="Times New Roman" w:eastAsia="仿宋"/>
          <w:sz w:val="32"/>
          <w:szCs w:val="32"/>
        </w:rPr>
      </w:pPr>
      <w:r>
        <w:rPr>
          <w:rFonts w:hint="eastAsia" w:ascii="Times New Roman" w:hAnsi="Times New Roman" w:eastAsia="仿宋"/>
          <w:sz w:val="32"/>
          <w:szCs w:val="32"/>
        </w:rPr>
        <w:t>南岳区风景名胜资源管理中心</w:t>
      </w:r>
      <w:r>
        <w:rPr>
          <w:rFonts w:hint="eastAsia" w:ascii="Times New Roman" w:hAnsi="仿宋" w:eastAsia="仿宋"/>
          <w:sz w:val="32"/>
          <w:szCs w:val="32"/>
        </w:rPr>
        <w:t>核定编制人数</w:t>
      </w:r>
      <w:r>
        <w:rPr>
          <w:rFonts w:ascii="Times New Roman" w:hAnsi="Times New Roman" w:eastAsia="仿宋"/>
          <w:sz w:val="32"/>
          <w:szCs w:val="32"/>
        </w:rPr>
        <w:t>6</w:t>
      </w:r>
      <w:r>
        <w:rPr>
          <w:rFonts w:hint="eastAsia" w:ascii="Times New Roman" w:hAnsi="仿宋" w:eastAsia="仿宋"/>
          <w:sz w:val="32"/>
          <w:szCs w:val="32"/>
        </w:rPr>
        <w:t>人，其中：行政编制</w:t>
      </w:r>
      <w:r>
        <w:rPr>
          <w:rFonts w:ascii="Times New Roman" w:hAnsi="Times New Roman" w:eastAsia="仿宋"/>
          <w:sz w:val="32"/>
          <w:szCs w:val="32"/>
        </w:rPr>
        <w:t>0</w:t>
      </w:r>
      <w:r>
        <w:rPr>
          <w:rFonts w:hint="eastAsia" w:ascii="Times New Roman" w:hAnsi="仿宋" w:eastAsia="仿宋"/>
          <w:sz w:val="32"/>
          <w:szCs w:val="32"/>
        </w:rPr>
        <w:t>人，全额事业编制</w:t>
      </w:r>
      <w:r>
        <w:rPr>
          <w:rFonts w:ascii="Times New Roman" w:hAnsi="Times New Roman" w:eastAsia="仿宋"/>
          <w:sz w:val="32"/>
          <w:szCs w:val="32"/>
        </w:rPr>
        <w:t>6</w:t>
      </w:r>
      <w:r>
        <w:rPr>
          <w:rFonts w:hint="eastAsia" w:ascii="Times New Roman" w:hAnsi="仿宋" w:eastAsia="仿宋"/>
          <w:sz w:val="32"/>
          <w:szCs w:val="32"/>
        </w:rPr>
        <w:t>人。</w:t>
      </w:r>
      <w:r>
        <w:rPr>
          <w:rFonts w:ascii="Times New Roman" w:hAnsi="Times New Roman" w:eastAsia="仿宋"/>
          <w:sz w:val="32"/>
          <w:szCs w:val="32"/>
        </w:rPr>
        <w:t>2022</w:t>
      </w:r>
      <w:r>
        <w:rPr>
          <w:rFonts w:hint="eastAsia" w:ascii="Times New Roman" w:hAnsi="仿宋" w:eastAsia="仿宋"/>
          <w:sz w:val="32"/>
          <w:szCs w:val="32"/>
        </w:rPr>
        <w:t>年末实际在岗在编人数</w:t>
      </w:r>
      <w:r>
        <w:rPr>
          <w:rFonts w:ascii="Times New Roman" w:hAnsi="仿宋" w:eastAsia="仿宋"/>
          <w:sz w:val="32"/>
          <w:szCs w:val="32"/>
        </w:rPr>
        <w:t>5</w:t>
      </w:r>
      <w:r>
        <w:rPr>
          <w:rFonts w:hint="eastAsia" w:ascii="Times New Roman" w:hAnsi="仿宋" w:eastAsia="仿宋"/>
          <w:sz w:val="32"/>
          <w:szCs w:val="32"/>
        </w:rPr>
        <w:t>人，退休人员</w:t>
      </w:r>
      <w:r>
        <w:rPr>
          <w:rFonts w:ascii="Times New Roman" w:hAnsi="Times New Roman" w:eastAsia="仿宋"/>
          <w:sz w:val="32"/>
          <w:szCs w:val="32"/>
        </w:rPr>
        <w:t>2</w:t>
      </w:r>
      <w:r>
        <w:rPr>
          <w:rFonts w:hint="eastAsia" w:ascii="Times New Roman" w:hAnsi="仿宋" w:eastAsia="仿宋"/>
          <w:sz w:val="32"/>
          <w:szCs w:val="32"/>
        </w:rPr>
        <w:t>人，临聘人员</w:t>
      </w:r>
      <w:r>
        <w:rPr>
          <w:rFonts w:ascii="Times New Roman" w:hAnsi="Times New Roman" w:eastAsia="仿宋"/>
          <w:sz w:val="32"/>
          <w:szCs w:val="32"/>
        </w:rPr>
        <w:t>1</w:t>
      </w:r>
      <w:r>
        <w:rPr>
          <w:rFonts w:hint="eastAsia" w:ascii="Times New Roman" w:hAnsi="仿宋" w:eastAsia="仿宋"/>
          <w:sz w:val="32"/>
          <w:szCs w:val="32"/>
        </w:rPr>
        <w:t>人。</w:t>
      </w:r>
    </w:p>
    <w:p>
      <w:pPr>
        <w:widowControl/>
        <w:numPr>
          <w:ilvl w:val="0"/>
          <w:numId w:val="1"/>
        </w:numPr>
        <w:spacing w:line="520" w:lineRule="exact"/>
        <w:ind w:firstLine="640" w:firstLineChars="200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一般公共预算支出情况</w:t>
      </w:r>
    </w:p>
    <w:p>
      <w:pPr>
        <w:widowControl/>
        <w:spacing w:line="520" w:lineRule="exact"/>
        <w:ind w:firstLine="643" w:firstLineChars="200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（一）基本支出情况</w:t>
      </w:r>
    </w:p>
    <w:p>
      <w:pPr>
        <w:tabs>
          <w:tab w:val="left" w:pos="2296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基本支出系保障我中心机构正常运转、完成日常工作任务而发生的各项支出，包括用于在职和离退休人员基本工资、津贴补贴等人员经费以及办公费、印刷费、水电费、办公设备购置等日常公用经费。</w:t>
      </w:r>
      <w:r>
        <w:rPr>
          <w:rFonts w:eastAsia="仿宋_GB2312"/>
          <w:sz w:val="32"/>
          <w:szCs w:val="32"/>
        </w:rPr>
        <w:t>2022</w:t>
      </w:r>
      <w:r>
        <w:rPr>
          <w:rFonts w:hint="eastAsia" w:eastAsia="仿宋_GB2312"/>
          <w:sz w:val="32"/>
          <w:szCs w:val="32"/>
        </w:rPr>
        <w:t>年基本支出</w:t>
      </w:r>
      <w:r>
        <w:rPr>
          <w:rFonts w:eastAsia="仿宋_GB2312"/>
          <w:sz w:val="32"/>
          <w:szCs w:val="32"/>
        </w:rPr>
        <w:t>70.6</w:t>
      </w:r>
      <w:r>
        <w:rPr>
          <w:rFonts w:hint="eastAsia" w:eastAsia="仿宋_GB2312"/>
          <w:sz w:val="32"/>
          <w:szCs w:val="32"/>
        </w:rPr>
        <w:t>万元，较上年减少</w:t>
      </w:r>
      <w:r>
        <w:rPr>
          <w:rFonts w:eastAsia="仿宋_GB2312"/>
          <w:sz w:val="32"/>
          <w:szCs w:val="32"/>
        </w:rPr>
        <w:t>12.45</w:t>
      </w:r>
      <w:r>
        <w:rPr>
          <w:rFonts w:hint="eastAsia" w:eastAsia="仿宋_GB2312"/>
          <w:sz w:val="32"/>
          <w:szCs w:val="32"/>
        </w:rPr>
        <w:t>万元。</w:t>
      </w:r>
      <w:r>
        <w:rPr>
          <w:rFonts w:hint="eastAsia" w:eastAsia="仿宋_GB2312"/>
          <w:color w:val="000000"/>
          <w:sz w:val="32"/>
          <w:szCs w:val="32"/>
        </w:rPr>
        <w:t>基本支出中人员经费</w:t>
      </w:r>
      <w:r>
        <w:rPr>
          <w:rFonts w:eastAsia="仿宋_GB2312"/>
          <w:color w:val="000000"/>
          <w:sz w:val="32"/>
          <w:szCs w:val="32"/>
        </w:rPr>
        <w:t>56.24</w:t>
      </w:r>
      <w:r>
        <w:rPr>
          <w:rFonts w:hint="eastAsia" w:eastAsia="仿宋_GB2312"/>
          <w:color w:val="000000"/>
          <w:sz w:val="32"/>
          <w:szCs w:val="32"/>
        </w:rPr>
        <w:t>万元，占基本支出的</w:t>
      </w:r>
      <w:r>
        <w:rPr>
          <w:rFonts w:eastAsia="仿宋_GB2312"/>
          <w:color w:val="000000"/>
          <w:sz w:val="32"/>
          <w:szCs w:val="32"/>
        </w:rPr>
        <w:t>80%</w:t>
      </w:r>
      <w:r>
        <w:rPr>
          <w:rFonts w:hint="eastAsia" w:eastAsia="仿宋_GB2312"/>
          <w:color w:val="000000"/>
          <w:sz w:val="32"/>
          <w:szCs w:val="32"/>
        </w:rPr>
        <w:t>，较上年减少</w:t>
      </w:r>
      <w:r>
        <w:rPr>
          <w:rFonts w:eastAsia="仿宋_GB2312"/>
          <w:color w:val="000000"/>
          <w:sz w:val="32"/>
          <w:szCs w:val="32"/>
        </w:rPr>
        <w:t>15%</w:t>
      </w:r>
      <w:r>
        <w:rPr>
          <w:rFonts w:hint="eastAsia" w:eastAsia="仿宋_GB2312"/>
          <w:color w:val="000000"/>
          <w:sz w:val="32"/>
          <w:szCs w:val="32"/>
        </w:rPr>
        <w:t>，主要原因是到龄退休</w:t>
      </w:r>
      <w:r>
        <w:rPr>
          <w:rFonts w:eastAsia="仿宋_GB2312"/>
          <w:color w:val="000000"/>
          <w:sz w:val="32"/>
          <w:szCs w:val="32"/>
        </w:rPr>
        <w:t>1</w:t>
      </w:r>
      <w:r>
        <w:rPr>
          <w:rFonts w:hint="eastAsia" w:eastAsia="仿宋_GB2312"/>
          <w:color w:val="000000"/>
          <w:sz w:val="32"/>
          <w:szCs w:val="32"/>
        </w:rPr>
        <w:t>人；日常公用经费</w:t>
      </w:r>
      <w:r>
        <w:rPr>
          <w:rFonts w:eastAsia="仿宋_GB2312"/>
          <w:color w:val="000000"/>
          <w:sz w:val="32"/>
          <w:szCs w:val="32"/>
        </w:rPr>
        <w:t>13.91</w:t>
      </w:r>
      <w:r>
        <w:rPr>
          <w:rFonts w:hint="eastAsia" w:eastAsia="仿宋_GB2312"/>
          <w:color w:val="000000"/>
          <w:sz w:val="32"/>
          <w:szCs w:val="32"/>
        </w:rPr>
        <w:t>万元，占基本支出的</w:t>
      </w:r>
      <w:r>
        <w:rPr>
          <w:rFonts w:eastAsia="仿宋_GB2312"/>
          <w:color w:val="000000"/>
          <w:sz w:val="32"/>
          <w:szCs w:val="32"/>
        </w:rPr>
        <w:t>20%</w:t>
      </w:r>
      <w:r>
        <w:rPr>
          <w:rFonts w:hint="eastAsia" w:eastAsia="仿宋_GB2312"/>
          <w:color w:val="000000"/>
          <w:sz w:val="32"/>
          <w:szCs w:val="32"/>
        </w:rPr>
        <w:t>，较上年减少</w:t>
      </w:r>
      <w:r>
        <w:rPr>
          <w:rFonts w:eastAsia="仿宋_GB2312"/>
          <w:color w:val="000000"/>
          <w:sz w:val="32"/>
          <w:szCs w:val="32"/>
        </w:rPr>
        <w:t>38%</w:t>
      </w:r>
      <w:r>
        <w:rPr>
          <w:rFonts w:hint="eastAsia" w:eastAsia="仿宋_GB2312"/>
          <w:color w:val="000000"/>
          <w:sz w:val="32"/>
          <w:szCs w:val="32"/>
        </w:rPr>
        <w:t>，主要原因是我中心长期坚持厉行节约、严格把关，严控三公经费支出，大力压减公用经费支出。</w:t>
      </w:r>
    </w:p>
    <w:p>
      <w:pPr>
        <w:widowControl/>
        <w:spacing w:line="520" w:lineRule="exact"/>
        <w:ind w:firstLine="643" w:firstLineChars="200"/>
        <w:rPr>
          <w:rFonts w:ascii="楷体_GB2312" w:hAnsi="Times New Roman" w:eastAsia="楷体_GB2312"/>
          <w:b/>
          <w:sz w:val="32"/>
          <w:szCs w:val="32"/>
        </w:rPr>
      </w:pPr>
      <w:r>
        <w:rPr>
          <w:rFonts w:hint="eastAsia" w:ascii="楷体_GB2312" w:hAnsi="Times New Roman" w:eastAsia="楷体_GB2312"/>
          <w:b/>
          <w:sz w:val="32"/>
          <w:szCs w:val="32"/>
        </w:rPr>
        <w:t>（二）项目支出情况</w:t>
      </w:r>
    </w:p>
    <w:p>
      <w:pPr>
        <w:tabs>
          <w:tab w:val="left" w:pos="2296"/>
        </w:tabs>
        <w:spacing w:line="520" w:lineRule="exact"/>
        <w:ind w:firstLine="640" w:firstLineChars="200"/>
        <w:rPr>
          <w:rFonts w:ascii="Times New Roman" w:hAnsi="Times New Roman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项目支出系我中心为完成财政财务管理工作而发生的支出，包括行业务工作经费和运行维护经费。业务工作经费支出主要用于风景名胜资源保护与管理、风资补偿费发放与调研、公务用车运行维护费</w:t>
      </w:r>
      <w:r>
        <w:rPr>
          <w:rFonts w:hint="eastAsia" w:ascii="仿宋_GB2312" w:hAnsi="Times New Roman" w:eastAsia="仿宋_GB2312"/>
          <w:sz w:val="30"/>
          <w:szCs w:val="30"/>
        </w:rPr>
        <w:t>等方面经费</w:t>
      </w:r>
      <w:r>
        <w:rPr>
          <w:rFonts w:hint="eastAsia" w:eastAsia="仿宋_GB2312"/>
          <w:sz w:val="32"/>
          <w:szCs w:val="32"/>
        </w:rPr>
        <w:t>。</w:t>
      </w:r>
      <w:r>
        <w:rPr>
          <w:rFonts w:eastAsia="仿宋_GB2312"/>
          <w:sz w:val="32"/>
          <w:szCs w:val="32"/>
        </w:rPr>
        <w:t>2022</w:t>
      </w:r>
      <w:r>
        <w:rPr>
          <w:rFonts w:hint="eastAsia" w:eastAsia="仿宋_GB2312"/>
          <w:sz w:val="32"/>
          <w:szCs w:val="32"/>
        </w:rPr>
        <w:t>年项目支出</w:t>
      </w:r>
      <w:r>
        <w:rPr>
          <w:rFonts w:eastAsia="仿宋_GB2312"/>
          <w:sz w:val="32"/>
          <w:szCs w:val="32"/>
        </w:rPr>
        <w:t>22.57</w:t>
      </w:r>
      <w:r>
        <w:rPr>
          <w:rFonts w:hint="eastAsia" w:eastAsia="仿宋_GB2312"/>
          <w:sz w:val="32"/>
          <w:szCs w:val="32"/>
        </w:rPr>
        <w:t>万元，比上年增加</w:t>
      </w:r>
      <w:r>
        <w:rPr>
          <w:rFonts w:eastAsia="仿宋_GB2312"/>
          <w:sz w:val="32"/>
          <w:szCs w:val="32"/>
        </w:rPr>
        <w:t>11.89</w:t>
      </w:r>
      <w:r>
        <w:rPr>
          <w:rFonts w:hint="eastAsia" w:eastAsia="仿宋_GB2312"/>
          <w:sz w:val="32"/>
          <w:szCs w:val="32"/>
        </w:rPr>
        <w:t>万元，增加</w:t>
      </w:r>
      <w:r>
        <w:rPr>
          <w:rFonts w:eastAsia="仿宋_GB2312"/>
          <w:sz w:val="32"/>
          <w:szCs w:val="32"/>
        </w:rPr>
        <w:t>110%</w:t>
      </w:r>
      <w:r>
        <w:rPr>
          <w:rFonts w:hint="eastAsia" w:eastAsia="仿宋_GB2312"/>
          <w:sz w:val="32"/>
          <w:szCs w:val="32"/>
        </w:rPr>
        <w:t>，主要是由于</w:t>
      </w:r>
      <w:r>
        <w:rPr>
          <w:rFonts w:hint="eastAsia" w:ascii="Times New Roman" w:hAnsi="Times New Roman" w:eastAsia="仿宋_GB2312"/>
          <w:sz w:val="32"/>
          <w:szCs w:val="32"/>
        </w:rPr>
        <w:t>受新冠肺炎疫情的影响，康家垅</w:t>
      </w:r>
      <w:r>
        <w:rPr>
          <w:rFonts w:ascii="Times New Roman" w:hAnsi="Times New Roman" w:eastAsia="仿宋_GB2312"/>
          <w:sz w:val="32"/>
          <w:szCs w:val="32"/>
        </w:rPr>
        <w:t>LED</w:t>
      </w:r>
      <w:r>
        <w:rPr>
          <w:rFonts w:hint="eastAsia" w:ascii="Times New Roman" w:hAnsi="Times New Roman" w:eastAsia="仿宋_GB2312"/>
          <w:sz w:val="32"/>
          <w:szCs w:val="32"/>
        </w:rPr>
        <w:t>屏和迎国省检等</w:t>
      </w:r>
      <w:r>
        <w:rPr>
          <w:rFonts w:hint="eastAsia" w:eastAsia="仿宋_GB2312"/>
          <w:sz w:val="32"/>
          <w:szCs w:val="32"/>
        </w:rPr>
        <w:t>项目上年未支付后续费用。</w:t>
      </w: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三、部门整体支出绩效情况</w:t>
      </w:r>
    </w:p>
    <w:p>
      <w:pPr>
        <w:tabs>
          <w:tab w:val="left" w:pos="2296"/>
        </w:tabs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2022</w:t>
      </w:r>
      <w:r>
        <w:rPr>
          <w:rFonts w:hint="eastAsia" w:eastAsia="仿宋_GB2312"/>
          <w:sz w:val="32"/>
          <w:szCs w:val="32"/>
        </w:rPr>
        <w:t>年我中心在区委、区政府的正确领导下，坚持围绕中心、服务大局，认真履职，真抓实干，各项工作全面发展，取得了较好成效，预算执行总体良好。</w:t>
      </w:r>
    </w:p>
    <w:p>
      <w:pPr>
        <w:widowControl/>
        <w:spacing w:line="52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四、存在的问题及原因分析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通过前述对我中心整体支出情况的分析，反映出目前整体支出主要在预算执行方面还存在一些问题和不足：</w:t>
      </w:r>
    </w:p>
    <w:p>
      <w:pPr>
        <w:spacing w:line="52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（一）部分项目实施与预算执行存在脱节。</w:t>
      </w:r>
    </w:p>
    <w:p>
      <w:pPr>
        <w:spacing w:line="520" w:lineRule="exact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受疫情影响，部分项目启动较晚，实施周期相对较长，导致项目验收晚，预算执行进度偏慢，相对比较集中。我们将在下年予以重视，督促项目实施单位早启动、早实施、早验收，对符合条件的项目按照项目进度支付相关款项。</w:t>
      </w:r>
    </w:p>
    <w:p>
      <w:pPr>
        <w:spacing w:line="520" w:lineRule="exact"/>
        <w:ind w:firstLine="643" w:firstLineChars="200"/>
        <w:rPr>
          <w:rFonts w:eastAsia="楷体_GB2312"/>
          <w:b/>
          <w:sz w:val="32"/>
          <w:szCs w:val="32"/>
        </w:rPr>
      </w:pPr>
      <w:r>
        <w:rPr>
          <w:rFonts w:hint="eastAsia" w:eastAsia="楷体_GB2312"/>
          <w:b/>
          <w:sz w:val="32"/>
          <w:szCs w:val="32"/>
        </w:rPr>
        <w:t>（三）经费保障乏力。</w:t>
      </w:r>
    </w:p>
    <w:p>
      <w:pPr>
        <w:spacing w:line="520" w:lineRule="exact"/>
        <w:ind w:firstLine="60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Times New Roman" w:eastAsia="仿宋_GB2312"/>
          <w:sz w:val="30"/>
          <w:szCs w:val="30"/>
        </w:rPr>
        <w:t>随着生态环境保护理念的深入、以生态保护优先理念抓发展</w:t>
      </w:r>
      <w:r>
        <w:rPr>
          <w:rFonts w:ascii="仿宋_GB2312" w:hAnsi="Times New Roman" w:eastAsia="仿宋_GB2312"/>
          <w:sz w:val="30"/>
          <w:szCs w:val="30"/>
        </w:rPr>
        <w:t xml:space="preserve"> </w:t>
      </w:r>
      <w:r>
        <w:rPr>
          <w:rFonts w:hint="eastAsia" w:ascii="仿宋_GB2312" w:hAnsi="Times New Roman" w:eastAsia="仿宋_GB2312"/>
          <w:sz w:val="30"/>
          <w:szCs w:val="30"/>
        </w:rPr>
        <w:t>，我中心在风景名胜资源保护管理方面承担的工作任务越来越重，而相应的业务经费、专项经费偏低，难以保障工作的顺利开展。</w:t>
      </w:r>
    </w:p>
    <w:p>
      <w:pPr>
        <w:widowControl/>
        <w:numPr>
          <w:ilvl w:val="0"/>
          <w:numId w:val="2"/>
        </w:numPr>
        <w:spacing w:line="520" w:lineRule="exact"/>
        <w:ind w:firstLine="640" w:firstLineChars="200"/>
        <w:jc w:val="left"/>
        <w:rPr>
          <w:rFonts w:ascii="Times New Roman" w:hAnsi="Times New Roman" w:eastAsia="黑体"/>
          <w:sz w:val="32"/>
          <w:szCs w:val="32"/>
        </w:rPr>
      </w:pPr>
      <w:r>
        <w:rPr>
          <w:rFonts w:hint="eastAsia" w:ascii="Times New Roman" w:hAnsi="Times New Roman" w:eastAsia="黑体"/>
          <w:sz w:val="32"/>
          <w:szCs w:val="32"/>
        </w:rPr>
        <w:t>下一步改进措施</w:t>
      </w:r>
    </w:p>
    <w:p>
      <w:pPr>
        <w:spacing w:line="52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针对上述存在的问题，拟采取以下改进措施：</w:t>
      </w:r>
    </w:p>
    <w:p>
      <w:pPr>
        <w:spacing w:line="520" w:lineRule="exact"/>
        <w:ind w:firstLine="640" w:firstLineChars="200"/>
        <w:rPr>
          <w:rFonts w:ascii="仿宋_GB2312" w:hAnsi="Times New Roman" w:eastAsia="仿宋_GB2312"/>
          <w:sz w:val="30"/>
          <w:szCs w:val="30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强化预算管理，定期开展预算执行分析。</w:t>
      </w:r>
      <w:r>
        <w:rPr>
          <w:rFonts w:hint="eastAsia" w:ascii="仿宋_GB2312" w:hAnsi="Times New Roman" w:eastAsia="仿宋_GB2312"/>
          <w:sz w:val="30"/>
          <w:szCs w:val="30"/>
        </w:rPr>
        <w:t>进一步强化绩效理念，将绩效管理理念贯穿于资金分配到资金使用全过程，加大资金整合力度，强化专项资金管理，把有限的资金用在刀刃上，提高财政资金使用效益。同时，抓好内控制度建设，进一步降低行政成本，确保资金安全，进一步推进廉洁高效机关单位。</w:t>
      </w:r>
    </w:p>
    <w:p>
      <w:pPr>
        <w:spacing w:line="520" w:lineRule="exact"/>
      </w:pPr>
    </w:p>
    <w:p>
      <w:pPr>
        <w:pStyle w:val="2"/>
        <w:spacing w:line="520" w:lineRule="exact"/>
        <w:jc w:val="right"/>
        <w:rPr>
          <w:rFonts w:ascii="仿宋_GB2312" w:hAnsi="Times New Roman" w:eastAsia="仿宋_GB2312"/>
          <w:kern w:val="2"/>
          <w:sz w:val="30"/>
          <w:szCs w:val="30"/>
        </w:rPr>
      </w:pPr>
      <w:r>
        <w:rPr>
          <w:rFonts w:hint="eastAsia" w:ascii="仿宋_GB2312" w:hAnsi="Times New Roman" w:eastAsia="仿宋_GB2312"/>
          <w:kern w:val="2"/>
          <w:sz w:val="30"/>
          <w:szCs w:val="30"/>
        </w:rPr>
        <w:t>南岳区风景名胜资源管理中心</w:t>
      </w:r>
    </w:p>
    <w:p>
      <w:pPr>
        <w:pStyle w:val="3"/>
        <w:spacing w:line="520" w:lineRule="exact"/>
        <w:ind w:left="31680"/>
        <w:jc w:val="right"/>
        <w:rPr>
          <w:rFonts w:ascii="仿宋_GB2312" w:eastAsia="仿宋_GB2312"/>
          <w:sz w:val="30"/>
          <w:szCs w:val="30"/>
        </w:rPr>
      </w:pPr>
      <w:r>
        <w:rPr>
          <w:rFonts w:ascii="仿宋_GB2312" w:eastAsia="仿宋_GB2312"/>
          <w:sz w:val="30"/>
          <w:szCs w:val="30"/>
        </w:rPr>
        <w:t>2023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ascii="仿宋_GB2312" w:eastAsia="仿宋_GB2312"/>
          <w:sz w:val="30"/>
          <w:szCs w:val="30"/>
        </w:rPr>
        <w:t>2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ascii="仿宋_GB2312" w:eastAsia="仿宋_GB2312"/>
          <w:sz w:val="30"/>
          <w:szCs w:val="30"/>
        </w:rPr>
        <w:t>7</w:t>
      </w:r>
      <w:r>
        <w:rPr>
          <w:rFonts w:hint="eastAsia" w:ascii="仿宋_GB2312" w:eastAsia="仿宋_GB2312"/>
          <w:sz w:val="30"/>
          <w:szCs w:val="30"/>
        </w:rPr>
        <w:t>日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方正小标宋_GBK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方正小标宋简体">
    <w:altName w:val="黑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639CCF1"/>
    <w:multiLevelType w:val="singleLevel"/>
    <w:tmpl w:val="F639CCF1"/>
    <w:lvl w:ilvl="0" w:tentative="0">
      <w:start w:val="2"/>
      <w:numFmt w:val="chineseCounting"/>
      <w:suff w:val="nothing"/>
      <w:lvlText w:val="%1、"/>
      <w:lvlJc w:val="left"/>
      <w:rPr>
        <w:rFonts w:hint="eastAsia" w:cs="Times New Roman"/>
      </w:rPr>
    </w:lvl>
  </w:abstractNum>
  <w:abstractNum w:abstractNumId="1">
    <w:nsid w:val="692A871F"/>
    <w:multiLevelType w:val="singleLevel"/>
    <w:tmpl w:val="692A871F"/>
    <w:lvl w:ilvl="0" w:tentative="0">
      <w:start w:val="5"/>
      <w:numFmt w:val="chineseCounting"/>
      <w:suff w:val="nothing"/>
      <w:lvlText w:val="%1、"/>
      <w:lvlJc w:val="left"/>
      <w:rPr>
        <w:rFonts w:hint="eastAsia"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layout v:ext="edit">
      <o:idmap v:ext="edit" data="2"/>
    </o:shapelayout>
  </w:hdrShapeDefaults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Q2M2IyMDRhYzUwNmExNjhjOTBhNzk2NTRmNmEzOTAifQ=="/>
  </w:docVars>
  <w:rsids>
    <w:rsidRoot w:val="58E06247"/>
    <w:rsid w:val="00225E62"/>
    <w:rsid w:val="002F57DB"/>
    <w:rsid w:val="00456EB2"/>
    <w:rsid w:val="004F0265"/>
    <w:rsid w:val="0070530D"/>
    <w:rsid w:val="00846F1F"/>
    <w:rsid w:val="00881676"/>
    <w:rsid w:val="009359A3"/>
    <w:rsid w:val="00BB7577"/>
    <w:rsid w:val="00EB6690"/>
    <w:rsid w:val="00ED54BC"/>
    <w:rsid w:val="02906F11"/>
    <w:rsid w:val="08285814"/>
    <w:rsid w:val="099461F1"/>
    <w:rsid w:val="0E0775AF"/>
    <w:rsid w:val="0E107158"/>
    <w:rsid w:val="0EF44384"/>
    <w:rsid w:val="0FD3668F"/>
    <w:rsid w:val="103C1D0B"/>
    <w:rsid w:val="11535CDA"/>
    <w:rsid w:val="12E070F9"/>
    <w:rsid w:val="13433B2C"/>
    <w:rsid w:val="135011A3"/>
    <w:rsid w:val="14914D48"/>
    <w:rsid w:val="149B2A0B"/>
    <w:rsid w:val="1963520F"/>
    <w:rsid w:val="1B846E8B"/>
    <w:rsid w:val="1CA40582"/>
    <w:rsid w:val="1D6D0123"/>
    <w:rsid w:val="20270A5D"/>
    <w:rsid w:val="20E67351"/>
    <w:rsid w:val="25360DBB"/>
    <w:rsid w:val="262477ED"/>
    <w:rsid w:val="28606852"/>
    <w:rsid w:val="29121970"/>
    <w:rsid w:val="29EF7861"/>
    <w:rsid w:val="2ADA6473"/>
    <w:rsid w:val="2B8D373E"/>
    <w:rsid w:val="2C3D6F12"/>
    <w:rsid w:val="2FE57FED"/>
    <w:rsid w:val="306B1E1B"/>
    <w:rsid w:val="30BE2A8F"/>
    <w:rsid w:val="32306420"/>
    <w:rsid w:val="33462B51"/>
    <w:rsid w:val="334D0383"/>
    <w:rsid w:val="35F7145C"/>
    <w:rsid w:val="3766286D"/>
    <w:rsid w:val="3C1732DC"/>
    <w:rsid w:val="3E744F30"/>
    <w:rsid w:val="3F8A0269"/>
    <w:rsid w:val="40A814B5"/>
    <w:rsid w:val="429F3322"/>
    <w:rsid w:val="43102595"/>
    <w:rsid w:val="43572B58"/>
    <w:rsid w:val="45237196"/>
    <w:rsid w:val="45C51FFB"/>
    <w:rsid w:val="49450AC2"/>
    <w:rsid w:val="49485A57"/>
    <w:rsid w:val="4A1504A0"/>
    <w:rsid w:val="4D550108"/>
    <w:rsid w:val="4EA30E21"/>
    <w:rsid w:val="52C14B04"/>
    <w:rsid w:val="543071D9"/>
    <w:rsid w:val="548D0188"/>
    <w:rsid w:val="55200E06"/>
    <w:rsid w:val="55A02E49"/>
    <w:rsid w:val="56220DA3"/>
    <w:rsid w:val="563665FD"/>
    <w:rsid w:val="58E06247"/>
    <w:rsid w:val="59853B23"/>
    <w:rsid w:val="599D5C82"/>
    <w:rsid w:val="5B4B531B"/>
    <w:rsid w:val="5DA220D3"/>
    <w:rsid w:val="613E45AD"/>
    <w:rsid w:val="61CA2A1B"/>
    <w:rsid w:val="63A177AC"/>
    <w:rsid w:val="64A2122F"/>
    <w:rsid w:val="64A77044"/>
    <w:rsid w:val="652C579B"/>
    <w:rsid w:val="65A13A93"/>
    <w:rsid w:val="66A00348"/>
    <w:rsid w:val="6713109A"/>
    <w:rsid w:val="67B42849"/>
    <w:rsid w:val="6B6537B4"/>
    <w:rsid w:val="6C320C0A"/>
    <w:rsid w:val="6E712470"/>
    <w:rsid w:val="71BD756A"/>
    <w:rsid w:val="73597FC3"/>
    <w:rsid w:val="74323DF5"/>
    <w:rsid w:val="751B6785"/>
    <w:rsid w:val="75232716"/>
    <w:rsid w:val="75B01AD0"/>
    <w:rsid w:val="799D236B"/>
    <w:rsid w:val="7A4D5B40"/>
    <w:rsid w:val="7B503B39"/>
    <w:rsid w:val="7B5F380B"/>
    <w:rsid w:val="7EE53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99" w:semiHidden="0" w:name="toc 5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unhideWhenUsed="0" w:uiPriority="99" w:semiHidden="0" w:name="header"/>
    <w:lsdException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nhideWhenUsed="0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uiPriority w:val="99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9"/>
    <w:uiPriority w:val="99"/>
    <w:rPr>
      <w:kern w:val="0"/>
      <w:sz w:val="24"/>
    </w:rPr>
  </w:style>
  <w:style w:type="paragraph" w:styleId="3">
    <w:name w:val="toc 5"/>
    <w:basedOn w:val="1"/>
    <w:next w:val="1"/>
    <w:uiPriority w:val="99"/>
    <w:pPr>
      <w:ind w:left="1680" w:leftChars="800"/>
    </w:pPr>
    <w:rPr>
      <w:rFonts w:ascii="Times New Roman" w:hAnsi="Times New Roman"/>
    </w:rPr>
  </w:style>
  <w:style w:type="paragraph" w:styleId="4">
    <w:name w:val="footer"/>
    <w:basedOn w:val="1"/>
    <w:link w:val="10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link w:val="11"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9">
    <w:name w:val="Body Text Char"/>
    <w:basedOn w:val="8"/>
    <w:link w:val="2"/>
    <w:semiHidden/>
    <w:locked/>
    <w:uiPriority w:val="99"/>
    <w:rPr>
      <w:rFonts w:ascii="Calibri" w:hAnsi="Calibri" w:cs="Times New Roman"/>
      <w:sz w:val="24"/>
      <w:szCs w:val="24"/>
    </w:rPr>
  </w:style>
  <w:style w:type="character" w:customStyle="1" w:styleId="10">
    <w:name w:val="Footer Char"/>
    <w:basedOn w:val="8"/>
    <w:link w:val="4"/>
    <w:semiHidden/>
    <w:locked/>
    <w:uiPriority w:val="99"/>
    <w:rPr>
      <w:rFonts w:ascii="Calibri" w:hAnsi="Calibri" w:cs="Times New Roman"/>
      <w:sz w:val="18"/>
      <w:szCs w:val="18"/>
    </w:rPr>
  </w:style>
  <w:style w:type="character" w:customStyle="1" w:styleId="11">
    <w:name w:val="Header Char"/>
    <w:basedOn w:val="8"/>
    <w:link w:val="5"/>
    <w:semiHidden/>
    <w:locked/>
    <w:uiPriority w:val="99"/>
    <w:rPr>
      <w:rFonts w:ascii="Calibri" w:hAnsi="Calibri" w:cs="Times New Roman"/>
      <w:sz w:val="18"/>
      <w:szCs w:val="18"/>
    </w:rPr>
  </w:style>
  <w:style w:type="paragraph" w:customStyle="1" w:styleId="12">
    <w:name w:val="样式3"/>
    <w:basedOn w:val="1"/>
    <w:uiPriority w:val="99"/>
    <w:rPr>
      <w:rFonts w:ascii="Times New Roman" w:hAnsi="Times New Roman" w:eastAsia="仿宋_GB2312"/>
      <w:spacing w:val="113"/>
      <w:sz w:val="32"/>
    </w:rPr>
  </w:style>
  <w:style w:type="paragraph" w:customStyle="1" w:styleId="13">
    <w:name w:val="样式4"/>
    <w:basedOn w:val="1"/>
    <w:uiPriority w:val="99"/>
    <w:rPr>
      <w:rFonts w:ascii="Times New Roman" w:hAnsi="Times New Roman" w:eastAsia="仿宋_GB2312"/>
      <w:spacing w:val="79"/>
      <w:sz w:val="32"/>
    </w:rPr>
  </w:style>
  <w:style w:type="paragraph" w:customStyle="1" w:styleId="14">
    <w:name w:val="样式6"/>
    <w:basedOn w:val="1"/>
    <w:uiPriority w:val="99"/>
    <w:rPr>
      <w:rFonts w:ascii="Times New Roman" w:hAnsi="Times New Roman" w:eastAsia="仿宋_GB2312"/>
      <w:spacing w:val="57"/>
      <w:sz w:val="32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3</Pages>
  <Words>237</Words>
  <Characters>1351</Characters>
  <Lines>0</Lines>
  <Paragraphs>0</Paragraphs>
  <TotalTime>65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2020-10-27T13:06:00Z</dcterms:created>
  <dc:creator>Administrator</dc:creator>
  <cp:lastModifiedBy>WPS_948918299</cp:lastModifiedBy>
  <cp:lastPrinted>2022-12-08T01:17:00Z</cp:lastPrinted>
  <dcterms:modified xsi:type="dcterms:W3CDTF">2023-09-06T02:28:51Z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13E148B9190540B1A474152F3F15882B_13</vt:lpwstr>
  </property>
</Properties>
</file>