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71" w:rsidRDefault="004F1D71"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：南岳区科学技术协会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年度部门整体支出绩效评价报告</w:t>
      </w:r>
    </w:p>
    <w:p w:rsidR="004F1D71" w:rsidRDefault="004F1D71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根据《中共中央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国务院关于全面实施预算绩效管理的意见》的文件精神，我单位对部门整体支出进行了绩效评价，现报告如下：</w:t>
      </w:r>
    </w:p>
    <w:p w:rsidR="004F1D71" w:rsidRDefault="004F1D71" w:rsidP="0045428F">
      <w:pPr>
        <w:ind w:firstLineChars="200" w:firstLine="3168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一、部门（单位）基本情况</w:t>
      </w:r>
    </w:p>
    <w:p w:rsidR="004F1D71" w:rsidRDefault="004F1D71" w:rsidP="0045428F">
      <w:pPr>
        <w:widowControl/>
        <w:spacing w:line="600" w:lineRule="exact"/>
        <w:ind w:firstLineChars="196" w:firstLine="31680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 w:hint="eastAsia"/>
          <w:b/>
          <w:snapToGrid w:val="0"/>
          <w:kern w:val="0"/>
          <w:sz w:val="32"/>
          <w:szCs w:val="32"/>
        </w:rPr>
        <w:t>（一）部门职能职责</w:t>
      </w:r>
    </w:p>
    <w:p w:rsidR="004F1D71" w:rsidRDefault="004F1D71" w:rsidP="0045428F">
      <w:pPr>
        <w:pStyle w:val="Heading1"/>
        <w:widowControl/>
        <w:shd w:val="clear" w:color="auto" w:fill="FFFFFF"/>
        <w:spacing w:beforeAutospacing="0" w:afterAutospacing="0" w:line="345" w:lineRule="atLeast"/>
        <w:ind w:firstLineChars="200" w:firstLine="31680"/>
        <w:rPr>
          <w:rFonts w:ascii="Calibri" w:eastAsia="仿宋_GB2312" w:hAnsi="Calibri"/>
          <w:b w:val="0"/>
          <w:bCs w:val="0"/>
          <w:kern w:val="2"/>
          <w:sz w:val="32"/>
          <w:szCs w:val="32"/>
        </w:rPr>
      </w:pPr>
      <w:r>
        <w:rPr>
          <w:rFonts w:ascii="Calibri" w:eastAsia="仿宋_GB2312" w:hAnsi="Calibri"/>
          <w:b w:val="0"/>
          <w:bCs w:val="0"/>
          <w:kern w:val="2"/>
          <w:sz w:val="32"/>
          <w:szCs w:val="32"/>
        </w:rPr>
        <w:t>1</w:t>
      </w:r>
      <w:r>
        <w:rPr>
          <w:rFonts w:ascii="Calibri" w:eastAsia="仿宋_GB2312" w:hAnsi="Calibri" w:hint="eastAsia"/>
          <w:b w:val="0"/>
          <w:bCs w:val="0"/>
          <w:kern w:val="2"/>
          <w:sz w:val="32"/>
          <w:szCs w:val="32"/>
        </w:rPr>
        <w:t>、开展学术交流，活跃学术思想，促进学科发展，推动自主创新；</w:t>
      </w:r>
    </w:p>
    <w:p w:rsidR="004F1D71" w:rsidRDefault="004F1D71" w:rsidP="0045428F">
      <w:pPr>
        <w:pStyle w:val="Heading1"/>
        <w:widowControl/>
        <w:shd w:val="clear" w:color="auto" w:fill="FFFFFF"/>
        <w:spacing w:beforeAutospacing="0" w:afterAutospacing="0" w:line="345" w:lineRule="atLeast"/>
        <w:ind w:firstLineChars="200" w:firstLine="31680"/>
        <w:rPr>
          <w:rFonts w:ascii="Calibri" w:eastAsia="仿宋_GB2312" w:hAnsi="Calibri"/>
          <w:b w:val="0"/>
          <w:bCs w:val="0"/>
          <w:kern w:val="2"/>
          <w:sz w:val="32"/>
          <w:szCs w:val="32"/>
        </w:rPr>
      </w:pPr>
      <w:r>
        <w:rPr>
          <w:rFonts w:ascii="Calibri" w:eastAsia="仿宋_GB2312" w:hAnsi="Calibri"/>
          <w:b w:val="0"/>
          <w:bCs w:val="0"/>
          <w:kern w:val="2"/>
          <w:sz w:val="32"/>
          <w:szCs w:val="32"/>
        </w:rPr>
        <w:t>2</w:t>
      </w:r>
      <w:r>
        <w:rPr>
          <w:rFonts w:ascii="Calibri" w:eastAsia="仿宋_GB2312" w:hAnsi="Calibri" w:hint="eastAsia"/>
          <w:b w:val="0"/>
          <w:bCs w:val="0"/>
          <w:kern w:val="2"/>
          <w:sz w:val="32"/>
          <w:szCs w:val="32"/>
        </w:rPr>
        <w:t>、依照中华人民共和国科学技术普及法，弘扬科学精神，普及科学知识，传播科学思想和科学方法；</w:t>
      </w:r>
    </w:p>
    <w:p w:rsidR="004F1D71" w:rsidRDefault="004F1D71" w:rsidP="0045428F">
      <w:pPr>
        <w:pStyle w:val="Heading1"/>
        <w:widowControl/>
        <w:shd w:val="clear" w:color="auto" w:fill="FFFFFF"/>
        <w:spacing w:beforeAutospacing="0" w:afterAutospacing="0" w:line="345" w:lineRule="atLeast"/>
        <w:ind w:firstLineChars="200" w:firstLine="31680"/>
        <w:rPr>
          <w:rFonts w:ascii="Calibri" w:eastAsia="仿宋_GB2312" w:hAnsi="Calibri"/>
          <w:b w:val="0"/>
          <w:bCs w:val="0"/>
          <w:kern w:val="2"/>
          <w:sz w:val="32"/>
          <w:szCs w:val="32"/>
        </w:rPr>
      </w:pPr>
      <w:r>
        <w:rPr>
          <w:rFonts w:ascii="Calibri" w:eastAsia="仿宋_GB2312" w:hAnsi="Calibri"/>
          <w:b w:val="0"/>
          <w:bCs w:val="0"/>
          <w:kern w:val="2"/>
          <w:sz w:val="32"/>
          <w:szCs w:val="32"/>
        </w:rPr>
        <w:t>3</w:t>
      </w:r>
      <w:r>
        <w:rPr>
          <w:rFonts w:ascii="Calibri" w:eastAsia="仿宋_GB2312" w:hAnsi="Calibri" w:hint="eastAsia"/>
          <w:b w:val="0"/>
          <w:bCs w:val="0"/>
          <w:kern w:val="2"/>
          <w:sz w:val="32"/>
          <w:szCs w:val="32"/>
        </w:rPr>
        <w:t>、反映科学技术工作者的建议、意见和诉求，维护科学技术工作者的合法权益；</w:t>
      </w:r>
    </w:p>
    <w:p w:rsidR="004F1D71" w:rsidRDefault="004F1D71" w:rsidP="0045428F">
      <w:pPr>
        <w:pStyle w:val="Heading1"/>
        <w:widowControl/>
        <w:shd w:val="clear" w:color="auto" w:fill="FFFFFF"/>
        <w:spacing w:beforeAutospacing="0" w:afterAutospacing="0" w:line="345" w:lineRule="atLeast"/>
        <w:ind w:firstLineChars="200" w:firstLine="31680"/>
        <w:rPr>
          <w:rFonts w:ascii="Calibri" w:eastAsia="仿宋_GB2312" w:hAnsi="Calibri"/>
          <w:b w:val="0"/>
          <w:bCs w:val="0"/>
          <w:kern w:val="2"/>
          <w:sz w:val="32"/>
          <w:szCs w:val="32"/>
        </w:rPr>
      </w:pPr>
      <w:r>
        <w:rPr>
          <w:rFonts w:ascii="Calibri" w:eastAsia="仿宋_GB2312" w:hAnsi="Calibri"/>
          <w:b w:val="0"/>
          <w:bCs w:val="0"/>
          <w:kern w:val="2"/>
          <w:sz w:val="32"/>
          <w:szCs w:val="32"/>
        </w:rPr>
        <w:t>4</w:t>
      </w:r>
      <w:r>
        <w:rPr>
          <w:rFonts w:ascii="Calibri" w:eastAsia="仿宋_GB2312" w:hAnsi="Calibri" w:hint="eastAsia"/>
          <w:b w:val="0"/>
          <w:bCs w:val="0"/>
          <w:kern w:val="2"/>
          <w:sz w:val="32"/>
          <w:szCs w:val="32"/>
        </w:rPr>
        <w:t>、组织科学技术工作者参与国家科学技术政策、法规制定和国家事务的政治协商、科学决策、民主监督工作；</w:t>
      </w:r>
    </w:p>
    <w:p w:rsidR="004F1D71" w:rsidRDefault="004F1D71" w:rsidP="0045428F">
      <w:pPr>
        <w:pStyle w:val="Heading1"/>
        <w:widowControl/>
        <w:shd w:val="clear" w:color="auto" w:fill="FFFFFF"/>
        <w:spacing w:beforeAutospacing="0" w:afterAutospacing="0" w:line="345" w:lineRule="atLeast"/>
        <w:ind w:firstLineChars="200" w:firstLine="31680"/>
        <w:rPr>
          <w:rFonts w:ascii="Calibri" w:eastAsia="仿宋_GB2312" w:hAnsi="Calibri"/>
          <w:b w:val="0"/>
          <w:bCs w:val="0"/>
          <w:kern w:val="2"/>
          <w:sz w:val="32"/>
          <w:szCs w:val="32"/>
        </w:rPr>
      </w:pPr>
      <w:r>
        <w:rPr>
          <w:rFonts w:ascii="Calibri" w:eastAsia="仿宋_GB2312" w:hAnsi="Calibri"/>
          <w:b w:val="0"/>
          <w:bCs w:val="0"/>
          <w:kern w:val="2"/>
          <w:sz w:val="32"/>
          <w:szCs w:val="32"/>
        </w:rPr>
        <w:t>5</w:t>
      </w:r>
      <w:r>
        <w:rPr>
          <w:rFonts w:ascii="Calibri" w:eastAsia="仿宋_GB2312" w:hAnsi="Calibri" w:hint="eastAsia"/>
          <w:b w:val="0"/>
          <w:bCs w:val="0"/>
          <w:kern w:val="2"/>
          <w:sz w:val="32"/>
          <w:szCs w:val="32"/>
        </w:rPr>
        <w:t>、开展科学论证、咨询服务，提出政策建议；</w:t>
      </w:r>
    </w:p>
    <w:p w:rsidR="004F1D71" w:rsidRDefault="004F1D71" w:rsidP="0045428F">
      <w:pPr>
        <w:pStyle w:val="Heading1"/>
        <w:widowControl/>
        <w:shd w:val="clear" w:color="auto" w:fill="FFFFFF"/>
        <w:spacing w:beforeAutospacing="0" w:afterAutospacing="0" w:line="345" w:lineRule="atLeast"/>
        <w:ind w:firstLineChars="200" w:firstLine="31680"/>
        <w:rPr>
          <w:rFonts w:ascii="Calibri" w:eastAsia="仿宋_GB2312" w:hAnsi="Calibri"/>
          <w:b w:val="0"/>
          <w:bCs w:val="0"/>
          <w:kern w:val="2"/>
          <w:sz w:val="32"/>
          <w:szCs w:val="32"/>
        </w:rPr>
      </w:pPr>
      <w:r>
        <w:rPr>
          <w:rFonts w:ascii="Calibri" w:eastAsia="仿宋_GB2312" w:hAnsi="Calibri"/>
          <w:b w:val="0"/>
          <w:bCs w:val="0"/>
          <w:kern w:val="2"/>
          <w:sz w:val="32"/>
          <w:szCs w:val="32"/>
        </w:rPr>
        <w:t>6</w:t>
      </w:r>
      <w:r>
        <w:rPr>
          <w:rFonts w:ascii="Calibri" w:eastAsia="仿宋_GB2312" w:hAnsi="Calibri" w:hint="eastAsia"/>
          <w:b w:val="0"/>
          <w:bCs w:val="0"/>
          <w:kern w:val="2"/>
          <w:sz w:val="32"/>
          <w:szCs w:val="32"/>
        </w:rPr>
        <w:t>、开展民间国际科学技术交流活动；</w:t>
      </w:r>
    </w:p>
    <w:p w:rsidR="004F1D71" w:rsidRDefault="004F1D71" w:rsidP="0045428F">
      <w:pPr>
        <w:pStyle w:val="Heading1"/>
        <w:widowControl/>
        <w:shd w:val="clear" w:color="auto" w:fill="FFFFFF"/>
        <w:spacing w:beforeAutospacing="0" w:afterAutospacing="0" w:line="345" w:lineRule="atLeast"/>
        <w:ind w:firstLineChars="200" w:firstLine="31680"/>
        <w:rPr>
          <w:rFonts w:ascii="Calibri" w:eastAsia="仿宋_GB2312" w:hAnsi="Calibri"/>
          <w:b w:val="0"/>
          <w:bCs w:val="0"/>
          <w:kern w:val="2"/>
          <w:sz w:val="32"/>
          <w:szCs w:val="32"/>
        </w:rPr>
      </w:pPr>
      <w:r>
        <w:rPr>
          <w:rFonts w:ascii="Calibri" w:eastAsia="仿宋_GB2312" w:hAnsi="Calibri"/>
          <w:b w:val="0"/>
          <w:bCs w:val="0"/>
          <w:kern w:val="2"/>
          <w:sz w:val="32"/>
          <w:szCs w:val="32"/>
        </w:rPr>
        <w:t>7</w:t>
      </w:r>
      <w:r>
        <w:rPr>
          <w:rFonts w:ascii="Calibri" w:eastAsia="仿宋_GB2312" w:hAnsi="Calibri" w:hint="eastAsia"/>
          <w:b w:val="0"/>
          <w:bCs w:val="0"/>
          <w:kern w:val="2"/>
          <w:sz w:val="32"/>
          <w:szCs w:val="32"/>
        </w:rPr>
        <w:t>、开展继续教育和培训工作</w:t>
      </w:r>
    </w:p>
    <w:p w:rsidR="004F1D71" w:rsidRDefault="004F1D71" w:rsidP="0045428F">
      <w:pPr>
        <w:widowControl/>
        <w:spacing w:line="600" w:lineRule="exact"/>
        <w:ind w:firstLineChars="196" w:firstLine="3168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（二）机构设置情况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我单位与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月新增，属正科级群团组织。</w:t>
      </w:r>
    </w:p>
    <w:p w:rsidR="004F1D71" w:rsidRDefault="004F1D71" w:rsidP="0045428F">
      <w:pPr>
        <w:widowControl/>
        <w:spacing w:line="600" w:lineRule="exact"/>
        <w:ind w:firstLineChars="196" w:firstLine="3168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（三）人员编制情况</w:t>
      </w:r>
    </w:p>
    <w:p w:rsidR="004F1D71" w:rsidRDefault="004F1D71" w:rsidP="0045428F">
      <w:pPr>
        <w:ind w:firstLineChars="200" w:firstLine="31680"/>
        <w:rPr>
          <w:rFonts w:ascii="黑体" w:eastAsia="黑体" w:hAnsi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年末，我单位共有编制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人，事业编制</w:t>
      </w:r>
      <w:r>
        <w:rPr>
          <w:rFonts w:eastAsia="仿宋_GB2312"/>
          <w:sz w:val="32"/>
          <w:szCs w:val="32"/>
        </w:rPr>
        <w:t xml:space="preserve"> 2</w:t>
      </w:r>
      <w:r>
        <w:rPr>
          <w:rFonts w:eastAsia="仿宋_GB2312" w:hint="eastAsia"/>
          <w:sz w:val="32"/>
          <w:szCs w:val="32"/>
        </w:rPr>
        <w:t>人。</w:t>
      </w:r>
    </w:p>
    <w:p w:rsidR="004F1D71" w:rsidRDefault="004F1D71" w:rsidP="0045428F">
      <w:pPr>
        <w:widowControl/>
        <w:numPr>
          <w:ilvl w:val="0"/>
          <w:numId w:val="1"/>
        </w:numPr>
        <w:spacing w:line="600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一般公共预算支出情况</w:t>
      </w:r>
    </w:p>
    <w:p w:rsidR="004F1D71" w:rsidRDefault="004F1D71" w:rsidP="0045428F">
      <w:pPr>
        <w:widowControl/>
        <w:spacing w:line="600" w:lineRule="exact"/>
        <w:ind w:firstLineChars="200" w:firstLine="31680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（一）基本支出情况</w:t>
      </w:r>
    </w:p>
    <w:p w:rsidR="004F1D71" w:rsidRDefault="004F1D71" w:rsidP="0045428F">
      <w:pPr>
        <w:tabs>
          <w:tab w:val="left" w:pos="2296"/>
        </w:tabs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基本支出系保障我单位机构正常运转、完成日常工作任务而发生的各项支出，包括用于在职人员基本工资、津贴补贴等人员经费以及办公费、印刷费、水电费、办公设备购置等日常公用经费。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年基本支出</w:t>
      </w:r>
      <w:r>
        <w:rPr>
          <w:rFonts w:eastAsia="仿宋_GB2312"/>
          <w:sz w:val="32"/>
          <w:szCs w:val="32"/>
        </w:rPr>
        <w:t>44.04</w:t>
      </w:r>
      <w:r>
        <w:rPr>
          <w:rFonts w:eastAsia="仿宋_GB2312" w:hint="eastAsia"/>
          <w:sz w:val="32"/>
          <w:szCs w:val="32"/>
        </w:rPr>
        <w:t>万元。</w:t>
      </w:r>
      <w:r>
        <w:rPr>
          <w:rFonts w:eastAsia="仿宋_GB2312" w:hint="eastAsia"/>
          <w:color w:val="000000"/>
          <w:sz w:val="32"/>
          <w:szCs w:val="32"/>
        </w:rPr>
        <w:t>基本支出中人员经费</w:t>
      </w:r>
      <w:r>
        <w:rPr>
          <w:rFonts w:eastAsia="仿宋_GB2312"/>
          <w:color w:val="000000"/>
          <w:sz w:val="32"/>
          <w:szCs w:val="32"/>
        </w:rPr>
        <w:t>15.45</w:t>
      </w:r>
      <w:r>
        <w:rPr>
          <w:rFonts w:eastAsia="仿宋_GB2312" w:hint="eastAsia"/>
          <w:color w:val="000000"/>
          <w:sz w:val="32"/>
          <w:szCs w:val="32"/>
        </w:rPr>
        <w:t>万元，占基本支出</w:t>
      </w:r>
      <w:r>
        <w:rPr>
          <w:rFonts w:eastAsia="仿宋_GB2312"/>
          <w:color w:val="000000"/>
          <w:sz w:val="32"/>
          <w:szCs w:val="32"/>
        </w:rPr>
        <w:t>35%</w:t>
      </w:r>
      <w:r>
        <w:rPr>
          <w:rFonts w:eastAsia="仿宋_GB2312" w:hint="eastAsia"/>
          <w:color w:val="000000"/>
          <w:sz w:val="32"/>
          <w:szCs w:val="32"/>
        </w:rPr>
        <w:t>，日常公用经费</w:t>
      </w:r>
      <w:r>
        <w:rPr>
          <w:rFonts w:eastAsia="仿宋_GB2312"/>
          <w:color w:val="000000"/>
          <w:sz w:val="32"/>
          <w:szCs w:val="32"/>
        </w:rPr>
        <w:t>15.99</w:t>
      </w:r>
      <w:r>
        <w:rPr>
          <w:rFonts w:eastAsia="仿宋_GB2312" w:hint="eastAsia"/>
          <w:color w:val="000000"/>
          <w:sz w:val="32"/>
          <w:szCs w:val="32"/>
        </w:rPr>
        <w:t>万元，占基本支出的</w:t>
      </w:r>
      <w:r>
        <w:rPr>
          <w:rFonts w:eastAsia="仿宋_GB2312"/>
          <w:color w:val="000000"/>
          <w:sz w:val="32"/>
          <w:szCs w:val="32"/>
        </w:rPr>
        <w:t>36%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4F1D71" w:rsidRDefault="004F1D71" w:rsidP="0045428F">
      <w:pPr>
        <w:widowControl/>
        <w:spacing w:line="600" w:lineRule="exact"/>
        <w:ind w:firstLineChars="200" w:firstLine="31680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（二）项目支出情况</w:t>
      </w:r>
    </w:p>
    <w:p w:rsidR="004F1D71" w:rsidRDefault="004F1D71" w:rsidP="0045428F">
      <w:pPr>
        <w:widowControl/>
        <w:spacing w:line="600" w:lineRule="exact"/>
        <w:ind w:firstLineChars="200" w:firstLine="31680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eastAsia="仿宋_GB2312" w:hint="eastAsia"/>
          <w:color w:val="000000"/>
          <w:sz w:val="32"/>
          <w:szCs w:val="32"/>
        </w:rPr>
        <w:t>年项目支出为</w:t>
      </w:r>
      <w:r>
        <w:rPr>
          <w:rFonts w:eastAsia="仿宋_GB2312"/>
          <w:color w:val="000000"/>
          <w:sz w:val="32"/>
          <w:szCs w:val="32"/>
        </w:rPr>
        <w:t>12.6</w:t>
      </w:r>
      <w:r>
        <w:rPr>
          <w:rFonts w:eastAsia="仿宋_GB2312" w:hint="eastAsia"/>
          <w:color w:val="000000"/>
          <w:sz w:val="32"/>
          <w:szCs w:val="32"/>
        </w:rPr>
        <w:t>万元，系本单位为完成各项科普活动</w:t>
      </w:r>
      <w:r>
        <w:rPr>
          <w:rFonts w:eastAsia="仿宋_GB2312"/>
          <w:color w:val="000000"/>
          <w:sz w:val="32"/>
          <w:szCs w:val="32"/>
        </w:rPr>
        <w:t>,</w:t>
      </w:r>
      <w:r>
        <w:rPr>
          <w:rFonts w:eastAsia="仿宋_GB2312" w:hint="eastAsia"/>
          <w:color w:val="000000"/>
          <w:sz w:val="32"/>
          <w:szCs w:val="32"/>
        </w:rPr>
        <w:t>实施“观象节”、科技强国活动项目开支。</w:t>
      </w:r>
    </w:p>
    <w:p w:rsidR="004F1D71" w:rsidRDefault="004F1D71" w:rsidP="0045428F">
      <w:pPr>
        <w:widowControl/>
        <w:spacing w:line="600" w:lineRule="exact"/>
        <w:ind w:firstLineChars="200" w:firstLine="3168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微软雅黑" w:eastAsia="微软雅黑" w:hAnsi="微软雅黑" w:cs="微软雅黑" w:hint="eastAsia"/>
          <w:color w:val="333333"/>
          <w:sz w:val="24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三、部门整体支出绩效情况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2022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年南岳区</w:t>
      </w:r>
      <w:bookmarkStart w:id="0" w:name="_GoBack"/>
      <w:bookmarkEnd w:id="0"/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科协支出绩效目标完成情况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1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、开展科普培训活动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开展“观象节”科普活动，参加</w:t>
      </w: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1300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余人次，“科技强国”发放科普资料</w:t>
      </w: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4000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余册。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2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、开展送科技下乡活动，受到的群众的高度认可。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3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、开展乡村振兴帮扶村、社区疫情防控宣传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2022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年产出和效益情况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1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、加强政治引领，团结科技工作者跟党走。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2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、强化青少年科学素质培养，积极参加科技创新大赛，机器人竞赛，学科竞赛等教育活动。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3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、强化农民、社区群众科学知识普及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4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、切实抓好疫情防控常态化工作</w:t>
      </w:r>
    </w:p>
    <w:p w:rsidR="004F1D71" w:rsidRDefault="004F1D71">
      <w:pPr>
        <w:pStyle w:val="NormalWeb"/>
        <w:spacing w:before="0" w:beforeAutospacing="0" w:after="0" w:afterAutospacing="0" w:line="30" w:lineRule="atLeast"/>
        <w:ind w:firstLine="420"/>
        <w:jc w:val="both"/>
        <w:rPr>
          <w:rFonts w:ascii="Calibri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Calibri" w:eastAsia="仿宋_GB2312" w:hAnsi="Calibri" w:cs="Times New Roman"/>
          <w:color w:val="000000"/>
          <w:kern w:val="2"/>
          <w:sz w:val="32"/>
          <w:szCs w:val="32"/>
        </w:rPr>
        <w:t>5</w:t>
      </w:r>
      <w:r>
        <w:rPr>
          <w:rFonts w:ascii="Calibri" w:eastAsia="仿宋_GB2312" w:hAnsi="Calibri" w:cs="Times New Roman" w:hint="eastAsia"/>
          <w:color w:val="000000"/>
          <w:kern w:val="2"/>
          <w:sz w:val="32"/>
          <w:szCs w:val="32"/>
        </w:rPr>
        <w:t>、科技助力乡村振兴，围绕区委中心工作抓落实</w:t>
      </w:r>
    </w:p>
    <w:p w:rsidR="004F1D71" w:rsidRDefault="004F1D71"/>
    <w:sectPr w:rsidR="004F1D71" w:rsidSect="000E2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71" w:rsidRDefault="004F1D71" w:rsidP="000E251C">
      <w:r>
        <w:separator/>
      </w:r>
    </w:p>
  </w:endnote>
  <w:endnote w:type="continuationSeparator" w:id="0">
    <w:p w:rsidR="004F1D71" w:rsidRDefault="004F1D71" w:rsidP="000E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1" w:rsidRDefault="004F1D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1" w:rsidRDefault="004F1D7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4F1D71" w:rsidRDefault="004F1D7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1" w:rsidRDefault="004F1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71" w:rsidRDefault="004F1D71" w:rsidP="000E251C">
      <w:r>
        <w:separator/>
      </w:r>
    </w:p>
  </w:footnote>
  <w:footnote w:type="continuationSeparator" w:id="0">
    <w:p w:rsidR="004F1D71" w:rsidRDefault="004F1D71" w:rsidP="000E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1" w:rsidRDefault="004F1D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1" w:rsidRDefault="004F1D71" w:rsidP="0045428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1" w:rsidRDefault="004F1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39CCF1"/>
    <w:multiLevelType w:val="singleLevel"/>
    <w:tmpl w:val="F639CCF1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WIzYmJiYzBiZjkyMTI2MWYyNjllZjJiMGNjNmI0N2IifQ=="/>
  </w:docVars>
  <w:rsids>
    <w:rsidRoot w:val="2D5776F4"/>
    <w:rsid w:val="000E251C"/>
    <w:rsid w:val="0045428F"/>
    <w:rsid w:val="004F1D71"/>
    <w:rsid w:val="008D0F1C"/>
    <w:rsid w:val="00CB4547"/>
    <w:rsid w:val="13665C55"/>
    <w:rsid w:val="15BA25F7"/>
    <w:rsid w:val="2D5776F4"/>
    <w:rsid w:val="318930C6"/>
    <w:rsid w:val="47A17F4D"/>
    <w:rsid w:val="4D461C73"/>
    <w:rsid w:val="67E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1C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51C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102"/>
    <w:rPr>
      <w:rFonts w:ascii="Calibri" w:hAnsi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0E25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A3102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E25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454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3102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3</Pages>
  <Words>134</Words>
  <Characters>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小芳</dc:creator>
  <cp:keywords/>
  <dc:description/>
  <cp:lastModifiedBy>微软用户</cp:lastModifiedBy>
  <cp:revision>2</cp:revision>
  <dcterms:created xsi:type="dcterms:W3CDTF">2023-02-09T02:04:00Z</dcterms:created>
  <dcterms:modified xsi:type="dcterms:W3CDTF">2023-04-23T07:20:00Z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8A311E51BE994A28AADB1093D63F34E3</vt:lpwstr>
  </property>
</Properties>
</file>