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4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"/>
        <w:gridCol w:w="1448"/>
        <w:gridCol w:w="236"/>
        <w:gridCol w:w="1364"/>
        <w:gridCol w:w="42"/>
        <w:gridCol w:w="5"/>
        <w:gridCol w:w="360"/>
        <w:gridCol w:w="53"/>
        <w:gridCol w:w="360"/>
        <w:gridCol w:w="535"/>
        <w:gridCol w:w="105"/>
        <w:gridCol w:w="307"/>
        <w:gridCol w:w="413"/>
        <w:gridCol w:w="287"/>
        <w:gridCol w:w="413"/>
        <w:gridCol w:w="520"/>
        <w:gridCol w:w="447"/>
        <w:gridCol w:w="8"/>
        <w:gridCol w:w="405"/>
        <w:gridCol w:w="240"/>
        <w:gridCol w:w="267"/>
        <w:gridCol w:w="413"/>
        <w:gridCol w:w="1102"/>
        <w:gridCol w:w="2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2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05" w:hRule="atLeast"/>
          <w:jc w:val="center"/>
        </w:trPr>
        <w:tc>
          <w:tcPr>
            <w:tcW w:w="10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4"/>
                <w:szCs w:val="44"/>
              </w:rPr>
            </w:pPr>
            <w:r>
              <w:rPr>
                <w:rFonts w:hint="eastAsia" w:ascii="黑体" w:hAnsi="黑体" w:eastAsia="黑体" w:cs="宋体"/>
                <w:kern w:val="0"/>
                <w:sz w:val="44"/>
                <w:szCs w:val="44"/>
              </w:rPr>
              <w:t>专项资金预算绩效目标申报表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10178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（202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02" w:hRule="atLeast"/>
          <w:jc w:val="center"/>
        </w:trPr>
        <w:tc>
          <w:tcPr>
            <w:tcW w:w="525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填报单位（盖章）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：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单位负责人：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肖建斌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专项基本情况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专项名称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4"/>
                <w:szCs w:val="14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4"/>
                <w:szCs w:val="14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联合治超工作经费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专项属性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新增项目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延续项目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sym w:font="Wingdings 2" w:char="005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主管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部门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区交通局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专项起止时间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2023.1-2023.12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420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0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肖建斌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20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联系人及电话</w:t>
            </w:r>
          </w:p>
        </w:tc>
        <w:tc>
          <w:tcPr>
            <w:tcW w:w="381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王娟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 xml:space="preserve"> 18973459105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32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专项概况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lang w:val="en-US" w:eastAsia="zh-CN"/>
              </w:rPr>
              <w:t>按照省、市治超办的安排部署，在区委、政府的统一领导及相关职能部门的积极配合下，各司其责、严防死守、多管齐下、查防并重，严厉打击非法超限超载车辆。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837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专项立项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依据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①《2022年度衡阳市车辆超限超载治理工作考核评估办法》，②按照省、市治超办的安排部署，根据衡阳市车辆超限超载治理工作领导小组办公室关于印发《2015年衡阳市治理车辆超限超载工作实施意见》的通知（衡治超办[2015]8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60" w:hRule="atLeast"/>
          <w:jc w:val="center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专项资金情况</w:t>
            </w:r>
          </w:p>
        </w:tc>
        <w:tc>
          <w:tcPr>
            <w:tcW w:w="14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本年度预计投入（万元）</w:t>
            </w:r>
          </w:p>
        </w:tc>
        <w:tc>
          <w:tcPr>
            <w:tcW w:w="58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财政资金（万元） </w:t>
            </w:r>
          </w:p>
        </w:tc>
        <w:tc>
          <w:tcPr>
            <w:tcW w:w="202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60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省级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市级资金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本级</w:t>
            </w:r>
          </w:p>
        </w:tc>
        <w:tc>
          <w:tcPr>
            <w:tcW w:w="202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20" w:hRule="atLeast"/>
          <w:jc w:val="center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6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5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2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91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单位已有的保证专项实施的制度、措施</w:t>
            </w: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制定了《南岳区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交通运输综合行政执法大队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专项资金管理办法》，严格按要求做到专款专用，并按要求及时落实相关工作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439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中长期绩效目标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严厉打击非法超限超载车辆，确保不发生重特大交通运输安全事故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，保障人民群众的生命和财产安全。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6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本年度绩效目标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严厉打击非法超限超载车辆，确保全年不发生重特大交通运输安全事故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900" w:hRule="atLeast"/>
          <w:jc w:val="center"/>
        </w:trPr>
        <w:tc>
          <w:tcPr>
            <w:tcW w:w="8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专项年度绩效指标</w:t>
            </w:r>
          </w:p>
        </w:tc>
        <w:tc>
          <w:tcPr>
            <w:tcW w:w="14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三级指标内容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指标值及单位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产出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指标</w:t>
            </w:r>
          </w:p>
        </w:tc>
        <w:tc>
          <w:tcPr>
            <w:tcW w:w="164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货运车辆过磅吨数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3万吨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检查车辆台数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700台次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质量指标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过磅准确率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时效指标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2B2B2B"/>
                <w:kern w:val="36"/>
                <w:sz w:val="28"/>
                <w:szCs w:val="28"/>
                <w:lang w:val="en-US" w:eastAsia="zh-CN"/>
              </w:rPr>
              <w:t>车辆过磅后得到结果及时率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100%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98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成本指标</w:t>
            </w:r>
          </w:p>
        </w:tc>
        <w:tc>
          <w:tcPr>
            <w:tcW w:w="38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财政预算</w:t>
            </w:r>
          </w:p>
        </w:tc>
        <w:tc>
          <w:tcPr>
            <w:tcW w:w="2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16万元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效益指标</w:t>
            </w: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经济效益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社会效益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通过开展执法活动，交通运输领域市场秩序情况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明显提高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可持续影响指标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事故发生率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739" w:hRule="atLeast"/>
          <w:jc w:val="center"/>
        </w:trPr>
        <w:tc>
          <w:tcPr>
            <w:tcW w:w="8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14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满意度指标</w:t>
            </w:r>
          </w:p>
        </w:tc>
        <w:tc>
          <w:tcPr>
            <w:tcW w:w="38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社会群众的满意度</w:t>
            </w:r>
          </w:p>
        </w:tc>
        <w:tc>
          <w:tcPr>
            <w:tcW w:w="24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95%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005" w:hRule="atLeast"/>
          <w:jc w:val="center"/>
        </w:trPr>
        <w:tc>
          <w:tcPr>
            <w:tcW w:w="229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其他需要说明的问题</w:t>
            </w:r>
          </w:p>
        </w:tc>
        <w:tc>
          <w:tcPr>
            <w:tcW w:w="7882" w:type="dxa"/>
            <w:gridSpan w:val="21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61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财政部门业务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股室审核意见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 年    月    日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633" w:hRule="atLeast"/>
          <w:jc w:val="center"/>
        </w:trPr>
        <w:tc>
          <w:tcPr>
            <w:tcW w:w="2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财政部门监督绩效股审核意见</w:t>
            </w:r>
          </w:p>
        </w:tc>
        <w:tc>
          <w:tcPr>
            <w:tcW w:w="7882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xOWZiODlhNDhjZThlOThhNzQ0NzdlNWE0MjNkZGMifQ=="/>
  </w:docVars>
  <w:rsids>
    <w:rsidRoot w:val="79797D42"/>
    <w:rsid w:val="006434DB"/>
    <w:rsid w:val="00766352"/>
    <w:rsid w:val="00EB5C1B"/>
    <w:rsid w:val="09D24067"/>
    <w:rsid w:val="0FE37641"/>
    <w:rsid w:val="208B4CB3"/>
    <w:rsid w:val="23553472"/>
    <w:rsid w:val="27047C1B"/>
    <w:rsid w:val="2B7B4E29"/>
    <w:rsid w:val="39AF6CB9"/>
    <w:rsid w:val="45C324B7"/>
    <w:rsid w:val="46CE7EBD"/>
    <w:rsid w:val="4E062FF2"/>
    <w:rsid w:val="54F46532"/>
    <w:rsid w:val="619E392D"/>
    <w:rsid w:val="630B2337"/>
    <w:rsid w:val="68FD54B6"/>
    <w:rsid w:val="79797D42"/>
    <w:rsid w:val="7F9031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681</Words>
  <Characters>722</Characters>
  <Lines>7</Lines>
  <Paragraphs>2</Paragraphs>
  <TotalTime>0</TotalTime>
  <ScaleCrop>false</ScaleCrop>
  <LinksUpToDate>false</LinksUpToDate>
  <CharactersWithSpaces>929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2020-07-06T07:43:00Z</dcterms:created>
  <dc:creator>三乙文</dc:creator>
  <cp:lastModifiedBy>芳华如梦</cp:lastModifiedBy>
  <dcterms:modified xsi:type="dcterms:W3CDTF">2023-04-11T08:04:24Z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7728CEB6F0BC4F77A569A4E0CA70141F</vt:lpwstr>
  </property>
</Properties>
</file>