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3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520" w:firstLineChars="7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南岳区交通运输局绩效自评表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交通行业监管费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尹晖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13575144678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  <w:lang w:val="en-US" w:eastAsia="zh-CN"/>
              </w:rPr>
              <w:t>交通运输局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Arial"/>
                <w:bCs/>
                <w:color w:val="2B2B2B"/>
                <w:kern w:val="36"/>
                <w:sz w:val="18"/>
                <w:szCs w:val="18"/>
              </w:rPr>
              <w:t>及时做好交通行业全面监督管理，公路建设，交通运输，质量安全监管等工作。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Arial"/>
                <w:bCs/>
                <w:color w:val="2B2B2B"/>
                <w:kern w:val="36"/>
                <w:sz w:val="18"/>
                <w:szCs w:val="18"/>
              </w:rPr>
              <w:t>做好交通行业全面监督管理，公路建设，交通运输，质量安全监管等工作。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严厉打击非法营运，加强客货市场监管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≥50</w:t>
            </w: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台次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安全生产检查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≥30</w:t>
            </w: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余次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全年全覆盖，全行业安全监管，加强重点时段、重点场所、重点领域的监督检查，强化在建工程、道路运输、水上交通的安全监管，加大隐患排查整改力度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加大客货运市场整治力度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  <w:lang w:val="en-US" w:eastAsia="zh-CN"/>
              </w:rPr>
              <w:t>项目完成时间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2022年度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</w:rPr>
              <w:t>不突破预算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34万元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34万元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lang w:val="en-US" w:eastAsia="zh-CN"/>
              </w:rPr>
              <w:t>有效提高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</w:rPr>
              <w:t>交通建设全面管理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</w:rPr>
              <w:t>明显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</w:rPr>
              <w:t>明显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Arial"/>
                <w:bCs/>
                <w:color w:val="2B2B2B"/>
                <w:kern w:val="36"/>
                <w:sz w:val="18"/>
                <w:szCs w:val="18"/>
              </w:rPr>
              <w:t>当地居民满意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ODkxZmViOTdmOGI1ZmJkZWFkNTVmN2FhYjY0ZTUifQ=="/>
  </w:docVars>
  <w:rsids>
    <w:rsidRoot w:val="58E06247"/>
    <w:rsid w:val="00881676"/>
    <w:rsid w:val="03CE666E"/>
    <w:rsid w:val="103C1D0B"/>
    <w:rsid w:val="142B66CD"/>
    <w:rsid w:val="149B2A0B"/>
    <w:rsid w:val="17B44AC3"/>
    <w:rsid w:val="1F88140E"/>
    <w:rsid w:val="20E67351"/>
    <w:rsid w:val="28606852"/>
    <w:rsid w:val="29121970"/>
    <w:rsid w:val="29EF7861"/>
    <w:rsid w:val="2ADA6473"/>
    <w:rsid w:val="30BE2A8F"/>
    <w:rsid w:val="429F3322"/>
    <w:rsid w:val="43102595"/>
    <w:rsid w:val="4A1504A0"/>
    <w:rsid w:val="52AF2D3B"/>
    <w:rsid w:val="52C14B04"/>
    <w:rsid w:val="55A02E49"/>
    <w:rsid w:val="58E06247"/>
    <w:rsid w:val="5DA220D3"/>
    <w:rsid w:val="64A2122F"/>
    <w:rsid w:val="662A3BC1"/>
    <w:rsid w:val="6713109A"/>
    <w:rsid w:val="67B42849"/>
    <w:rsid w:val="6E912B36"/>
    <w:rsid w:val="71BD756A"/>
    <w:rsid w:val="751B6785"/>
    <w:rsid w:val="753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450</Characters>
  <Lines>0</Lines>
  <Paragraphs>0</Paragraphs>
  <TotalTime>0</TotalTime>
  <ScaleCrop>false</ScaleCrop>
  <LinksUpToDate>false</LinksUpToDate>
  <CharactersWithSpaces>450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倩倩</cp:lastModifiedBy>
  <cp:lastPrinted>2022-12-08T01:17:00Z</cp:lastPrinted>
  <dcterms:modified xsi:type="dcterms:W3CDTF">2023-02-08T09:09:15Z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6800BAFC93A94E83BC604B1F583EB38A</vt:lpwstr>
  </property>
</Properties>
</file>