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3"/>
        <w:tblW w:w="10355" w:type="dxa"/>
        <w:tblInd w:w="-65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32"/>
        <w:gridCol w:w="1424"/>
        <w:gridCol w:w="2094"/>
        <w:gridCol w:w="1500"/>
        <w:gridCol w:w="1280"/>
        <w:gridCol w:w="19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南岳区教育局绩效自评表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2022年秋季南岳区规范民办义务教育购买学位经费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康志莉13387345959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1.我区民办义务教育阶段学生占比低于5%；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2.购买文定学校学位2178个。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1.我区民办义务教育阶段学生占比低于5%；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2.购买文定学校学位2178个。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民办义务教育阶段学生占比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≤5%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购买公办学位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2178个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2178个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资金用途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学校正常运转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保障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按合同约定拨款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 w:bidi="ar-SA"/>
              </w:rPr>
              <w:t>第一次拨款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购买公办学位标准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4133元/生/期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4133元/生/期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义务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教育投入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450万元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/>
              </w:rPr>
              <w:t>450万元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满足学生义务教育现实需求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满足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民办义务教育阶段学生占比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≤5%　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≤5%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社会公众教育满意度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YjhmZjcyNGFkNzNiZjMwNTJmZmU5MDlmNWJhOGQifQ=="/>
  </w:docVars>
  <w:rsids>
    <w:rsidRoot w:val="63D863EB"/>
    <w:rsid w:val="28013942"/>
    <w:rsid w:val="2BF5688B"/>
    <w:rsid w:val="587B479B"/>
    <w:rsid w:val="5DB41810"/>
    <w:rsid w:val="63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480</Characters>
  <Lines>0</Lines>
  <Paragraphs>0</Paragraphs>
  <TotalTime>1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2023-02-13T02:28:00Z</dcterms:created>
  <dc:creator>陨落</dc:creator>
  <cp:lastModifiedBy>陨落</cp:lastModifiedBy>
  <dcterms:modified xsi:type="dcterms:W3CDTF">2023-02-13T03:29:36Z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8670ED50FC2343398C720AA9FF34A306</vt:lpwstr>
  </property>
</Properties>
</file>