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236"/>
        <w:gridCol w:w="936"/>
        <w:gridCol w:w="428"/>
        <w:gridCol w:w="32"/>
        <w:gridCol w:w="360"/>
        <w:gridCol w:w="68"/>
        <w:gridCol w:w="360"/>
        <w:gridCol w:w="457"/>
        <w:gridCol w:w="183"/>
        <w:gridCol w:w="292"/>
        <w:gridCol w:w="428"/>
        <w:gridCol w:w="272"/>
        <w:gridCol w:w="428"/>
        <w:gridCol w:w="520"/>
        <w:gridCol w:w="672"/>
        <w:gridCol w:w="5"/>
        <w:gridCol w:w="183"/>
        <w:gridCol w:w="240"/>
        <w:gridCol w:w="252"/>
        <w:gridCol w:w="428"/>
        <w:gridCol w:w="93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完小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罗伶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支部活动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 xml:space="preserve">经费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上级党支部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2020.1.-2020.12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13873460219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为开展党支部五化建设、学习及活动而产生的经费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《岳财字[2020]18号南岳区财政局关于2020年单位收支预算的批复、岳财字[2020]12号南岳区财政局关于做好20202年区直单位绩效目标管理的通知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16.73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16.73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729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为确保专项实施而制定的制度和措施，如成立的专门管理机构、资金管理办法、项目管理办法、工作措施（方案、规划）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公开透明，接受监督。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9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根据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的具体情况，制定了《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南岳完小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6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240" w:lineRule="auto"/>
              <w:ind w:left="0" w:right="0" w:firstLine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根据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的具体情况，制定了《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南岳完小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数量指标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开展党建活动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次数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党员活动人数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党员培训人次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≥20人次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订阅党刊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=200份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党员的生活质量、政治素质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达标率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活动计划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支部活动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 xml:space="preserve">经费 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16.73万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社会秩序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稳定、和谐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社会公众满意度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0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635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21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46B6"/>
    <w:rsid w:val="101B3332"/>
    <w:rsid w:val="11E90C3E"/>
    <w:rsid w:val="13346DDD"/>
    <w:rsid w:val="13905F7D"/>
    <w:rsid w:val="1B5F6E73"/>
    <w:rsid w:val="228F3A58"/>
    <w:rsid w:val="2E4F19DA"/>
    <w:rsid w:val="588132AA"/>
    <w:rsid w:val="65C74DFF"/>
    <w:rsid w:val="7A9565F5"/>
    <w:rsid w:val="7D7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2020-07-07T01:39:00Z</dcterms:created>
  <dc:creator>三乙文</dc:creator>
  <cp:lastModifiedBy>妞妞兔</cp:lastModifiedBy>
  <dcterms:modified xsi:type="dcterms:W3CDTF">2020-07-21T01:01:08Z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