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49"/>
        <w:gridCol w:w="236"/>
        <w:gridCol w:w="852"/>
        <w:gridCol w:w="460"/>
        <w:gridCol w:w="52"/>
        <w:gridCol w:w="308"/>
        <w:gridCol w:w="152"/>
        <w:gridCol w:w="360"/>
        <w:gridCol w:w="436"/>
        <w:gridCol w:w="204"/>
        <w:gridCol w:w="208"/>
        <w:gridCol w:w="512"/>
        <w:gridCol w:w="188"/>
        <w:gridCol w:w="512"/>
        <w:gridCol w:w="520"/>
        <w:gridCol w:w="348"/>
        <w:gridCol w:w="240"/>
        <w:gridCol w:w="272"/>
        <w:gridCol w:w="240"/>
        <w:gridCol w:w="168"/>
        <w:gridCol w:w="512"/>
        <w:gridCol w:w="848"/>
        <w:gridCol w:w="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02" w:hRule="atLeast"/>
          <w:jc w:val="center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填报单位（盖章）：南岳区教育局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单位负责人：左传益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中职免学费资金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计财审计股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康志莉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罗振宇18075889005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区财政预算安排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中职免学费资金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区委区政府关心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贫困生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5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110.64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110.64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786" w:hRule="atLeast"/>
          <w:jc w:val="center"/>
        </w:trPr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628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设置了相关财政制度来保障相关工作的实施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90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全面扩展奖学、奖教，助学助教的活动力度，全面扩大特困教师和学生的救助范围。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266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全面扩展奖学、奖教，助学助教的活动力度，全面扩大特困教师和学生的救助范围。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00" w:hRule="atLeast"/>
          <w:jc w:val="center"/>
        </w:trPr>
        <w:tc>
          <w:tcPr>
            <w:tcW w:w="23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中职免学费学生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=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479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资金使用合规率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中职免学费资金到位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补贴标准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≤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0.24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万元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扶助贫困学生，维护社会稳定，促进教育事业的发展。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进一步加强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促进师生身心健康，构建教育可持续发展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有所影响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人民群众满意度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学校师生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≥98%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05" w:hRule="atLeast"/>
          <w:jc w:val="center"/>
        </w:trPr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628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261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633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7C6B"/>
    <w:rsid w:val="1A291295"/>
    <w:rsid w:val="22A77C6B"/>
    <w:rsid w:val="664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2020-07-19T05:17:00Z</dcterms:created>
  <dc:creator>三乙文</dc:creator>
  <cp:lastModifiedBy>三乙文</cp:lastModifiedBy>
  <dcterms:modified xsi:type="dcterms:W3CDTF">2020-07-20T02:14:05Z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