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20"/>
        <w:gridCol w:w="1064"/>
        <w:gridCol w:w="613"/>
        <w:gridCol w:w="907"/>
        <w:gridCol w:w="401"/>
        <w:gridCol w:w="412"/>
        <w:gridCol w:w="700"/>
        <w:gridCol w:w="1380"/>
        <w:gridCol w:w="240"/>
        <w:gridCol w:w="68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南岳区人大办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单位负责人：蒋和平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办委室活动经费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南岳区人民代表大会常务委员会办公室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蒋和平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《中华人民共和国全国人民代表大会和地方各级人民代表大会代表法》、南岳区人大常委会办公室关于印发《南岳区人大常委会2020年工作要点的通知》（岳常办【2020】13号）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14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6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775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为确保专项实施而制定的制度和措施，如成立的专门管理机构、资金管理办法、项目管理办法、工作措施（方案、规划）等。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right="-110"/>
              <w:rPr>
                <w:rFonts w:ascii="宋体" w:hAnsi="宋体" w:cs="宋体"/>
                <w:color w:val="2B2B2B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right="-110"/>
              <w:rPr>
                <w:rFonts w:ascii="宋体" w:hAnsi="宋体" w:cs="宋体"/>
                <w:color w:val="2B2B2B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召开相关活动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审计工作报告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保证闭会期间代表活动正常开展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各组按规定完成代表活动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=4次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各类活动经费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全市民主法治建设和经济社会改革发展工作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有所促进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民主法治氛围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明显提升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全市人民群众满意度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3C2B4B"/>
    <w:rsid w:val="00013DA3"/>
    <w:rsid w:val="00975863"/>
    <w:rsid w:val="00A34154"/>
    <w:rsid w:val="00FD19C2"/>
    <w:rsid w:val="01D16452"/>
    <w:rsid w:val="03244320"/>
    <w:rsid w:val="173C2136"/>
    <w:rsid w:val="1A5573C2"/>
    <w:rsid w:val="35DD605A"/>
    <w:rsid w:val="4ADF5805"/>
    <w:rsid w:val="50686AAC"/>
    <w:rsid w:val="733C2B4B"/>
    <w:rsid w:val="794A2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156</Words>
  <Characters>894</Characters>
  <Lines>7</Lines>
  <Paragraphs>2</Paragraphs>
  <TotalTime>8</TotalTime>
  <ScaleCrop>false</ScaleCrop>
  <LinksUpToDate>false</LinksUpToDate>
  <CharactersWithSpaces>1048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三乙文</dc:creator>
  <cp:lastModifiedBy>正则</cp:lastModifiedBy>
  <dcterms:modified xsi:type="dcterms:W3CDTF">2021-04-07T09:37:04Z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D89D9643E0AF4282B06969BFDE7AAAA7</vt:lpwstr>
  </property>
</Properties>
</file>