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134" w:type="dxa"/>
        <w:jc w:val="center"/>
        <w:shd w:val="clear" w:color="auto" w:fill="auto"/>
        <w:tblLayout w:type="fixed"/>
        <w:tblCellMar>
          <w:top w:w="0" w:type="dxa"/>
          <w:left w:w="0" w:type="dxa"/>
          <w:bottom w:w="0" w:type="dxa"/>
          <w:right w:w="0" w:type="dxa"/>
        </w:tblCellMar>
      </w:tblPr>
      <w:tblGrid>
        <w:gridCol w:w="937"/>
        <w:gridCol w:w="570"/>
        <w:gridCol w:w="855"/>
        <w:gridCol w:w="555"/>
        <w:gridCol w:w="695"/>
        <w:gridCol w:w="925"/>
        <w:gridCol w:w="1652"/>
        <w:gridCol w:w="138"/>
        <w:gridCol w:w="574"/>
        <w:gridCol w:w="216"/>
        <w:gridCol w:w="490"/>
        <w:gridCol w:w="1008"/>
        <w:gridCol w:w="519"/>
      </w:tblGrid>
      <w:tr>
        <w:tblPrEx>
          <w:shd w:val="clear" w:color="auto" w:fill="auto"/>
          <w:tblCellMar>
            <w:top w:w="0" w:type="dxa"/>
            <w:left w:w="0" w:type="dxa"/>
            <w:bottom w:w="0" w:type="dxa"/>
            <w:right w:w="0" w:type="dxa"/>
          </w:tblCellMar>
        </w:tblPrEx>
        <w:trPr>
          <w:trHeight w:val="799" w:hRule="atLeast"/>
          <w:jc w:val="center"/>
        </w:trPr>
        <w:tc>
          <w:tcPr>
            <w:tcW w:w="913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default" w:ascii="方正小标宋简体" w:hAnsi="方正小标宋简体" w:eastAsia="方正小标宋简体" w:cs="方正小标宋简体"/>
                <w:i w:val="0"/>
                <w:color w:val="000000"/>
                <w:kern w:val="0"/>
                <w:sz w:val="32"/>
                <w:szCs w:val="32"/>
                <w:u w:val="none"/>
                <w:lang w:val="en-US" w:eastAsia="zh-CN" w:bidi="ar"/>
              </w:rPr>
              <w:t>祝融街道</w:t>
            </w:r>
            <w:r>
              <w:rPr>
                <w:rFonts w:hint="eastAsia" w:ascii="方正小标宋简体" w:hAnsi="方正小标宋简体" w:eastAsia="方正小标宋简体" w:cs="方正小标宋简体"/>
                <w:i w:val="0"/>
                <w:color w:val="000000"/>
                <w:kern w:val="0"/>
                <w:sz w:val="32"/>
                <w:szCs w:val="32"/>
                <w:u w:val="none"/>
                <w:lang w:val="en-US" w:eastAsia="zh-CN" w:bidi="ar"/>
              </w:rPr>
              <w:t>财政所</w:t>
            </w:r>
            <w:r>
              <w:rPr>
                <w:rFonts w:hint="default" w:ascii="方正小标宋简体" w:hAnsi="方正小标宋简体" w:eastAsia="方正小标宋简体" w:cs="方正小标宋简体"/>
                <w:i w:val="0"/>
                <w:color w:val="000000"/>
                <w:kern w:val="0"/>
                <w:sz w:val="32"/>
                <w:szCs w:val="32"/>
                <w:u w:val="none"/>
                <w:lang w:val="en-US" w:eastAsia="zh-CN" w:bidi="ar"/>
              </w:rPr>
              <w:t>部门整体支出绩效目标申报表</w:t>
            </w:r>
          </w:p>
        </w:tc>
      </w:tr>
      <w:tr>
        <w:tblPrEx>
          <w:tblCellMar>
            <w:top w:w="0" w:type="dxa"/>
            <w:left w:w="0" w:type="dxa"/>
            <w:bottom w:w="0" w:type="dxa"/>
            <w:right w:w="0" w:type="dxa"/>
          </w:tblCellMar>
        </w:tblPrEx>
        <w:trPr>
          <w:trHeight w:val="405" w:hRule="atLeast"/>
          <w:jc w:val="center"/>
        </w:trPr>
        <w:tc>
          <w:tcPr>
            <w:tcW w:w="9134" w:type="dxa"/>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2"/>
                <w:szCs w:val="32"/>
                <w:u w:val="none"/>
              </w:rPr>
            </w:pPr>
            <w:r>
              <w:rPr>
                <w:rFonts w:hint="default" w:ascii="仿宋_GB2312" w:hAnsi="宋体" w:eastAsia="仿宋_GB2312" w:cs="仿宋_GB2312"/>
                <w:b/>
                <w:i w:val="0"/>
                <w:color w:val="000000"/>
                <w:kern w:val="0"/>
                <w:sz w:val="24"/>
                <w:szCs w:val="24"/>
                <w:u w:val="none"/>
                <w:lang w:val="en-US" w:eastAsia="zh-CN" w:bidi="ar"/>
              </w:rPr>
              <w:t>（</w:t>
            </w:r>
            <w:r>
              <w:rPr>
                <w:rStyle w:val="4"/>
                <w:rFonts w:hAnsi="宋体"/>
                <w:sz w:val="24"/>
                <w:szCs w:val="24"/>
                <w:lang w:val="en-US" w:eastAsia="zh-CN" w:bidi="ar"/>
              </w:rPr>
              <w:t xml:space="preserve"> 202</w:t>
            </w:r>
            <w:r>
              <w:rPr>
                <w:rStyle w:val="4"/>
                <w:rFonts w:hint="eastAsia" w:hAnsi="宋体"/>
                <w:sz w:val="24"/>
                <w:szCs w:val="24"/>
                <w:lang w:val="en-US" w:eastAsia="zh-CN" w:bidi="ar"/>
              </w:rPr>
              <w:t>1</w:t>
            </w:r>
            <w:r>
              <w:rPr>
                <w:rStyle w:val="4"/>
                <w:rFonts w:hAnsi="宋体"/>
                <w:sz w:val="24"/>
                <w:szCs w:val="24"/>
                <w:lang w:val="en-US" w:eastAsia="zh-CN" w:bidi="ar"/>
              </w:rPr>
              <w:t xml:space="preserve"> </w:t>
            </w:r>
            <w:r>
              <w:rPr>
                <w:rStyle w:val="5"/>
                <w:rFonts w:hAnsi="宋体"/>
                <w:sz w:val="24"/>
                <w:szCs w:val="24"/>
                <w:lang w:val="en-US" w:eastAsia="zh-CN" w:bidi="ar"/>
              </w:rPr>
              <w:t>年度）</w:t>
            </w:r>
          </w:p>
        </w:tc>
      </w:tr>
      <w:tr>
        <w:tblPrEx>
          <w:tblCellMar>
            <w:top w:w="0" w:type="dxa"/>
            <w:left w:w="0" w:type="dxa"/>
            <w:bottom w:w="0" w:type="dxa"/>
            <w:right w:w="0" w:type="dxa"/>
          </w:tblCellMar>
        </w:tblPrEx>
        <w:trPr>
          <w:trHeight w:val="402" w:hRule="atLeast"/>
          <w:jc w:val="center"/>
        </w:trPr>
        <w:tc>
          <w:tcPr>
            <w:tcW w:w="6189" w:type="dxa"/>
            <w:gridSpan w:val="7"/>
            <w:tcBorders>
              <w:top w:val="nil"/>
              <w:left w:val="nil"/>
              <w:bottom w:val="single" w:color="000000" w:sz="4" w:space="0"/>
              <w:right w:val="nil"/>
            </w:tcBorders>
            <w:shd w:val="clear" w:color="auto" w:fill="auto"/>
            <w:noWrap/>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填报单位（盖章）：南岳区祝融街道财政所</w:t>
            </w:r>
          </w:p>
        </w:tc>
        <w:tc>
          <w:tcPr>
            <w:tcW w:w="712" w:type="dxa"/>
            <w:gridSpan w:val="2"/>
            <w:tcBorders>
              <w:top w:val="nil"/>
              <w:left w:val="nil"/>
              <w:bottom w:val="nil"/>
              <w:right w:val="nil"/>
            </w:tcBorders>
            <w:shd w:val="clear" w:color="auto" w:fill="auto"/>
            <w:tcMar>
              <w:top w:w="15" w:type="dxa"/>
              <w:left w:w="15" w:type="dxa"/>
              <w:right w:w="15" w:type="dxa"/>
            </w:tcMar>
            <w:vAlign w:val="center"/>
          </w:tcPr>
          <w:p>
            <w:pPr>
              <w:rPr>
                <w:rFonts w:hint="default" w:ascii="仿宋_GB2312" w:hAnsi="宋体" w:eastAsia="仿宋_GB2312" w:cs="仿宋_GB2312"/>
                <w:i w:val="0"/>
                <w:color w:val="000000"/>
                <w:sz w:val="24"/>
                <w:szCs w:val="24"/>
                <w:u w:val="none"/>
              </w:rPr>
            </w:pPr>
          </w:p>
        </w:tc>
        <w:tc>
          <w:tcPr>
            <w:tcW w:w="2233"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单位负责人：</w:t>
            </w:r>
            <w:r>
              <w:rPr>
                <w:rFonts w:hint="eastAsia" w:ascii="仿宋_GB2312" w:hAnsi="宋体" w:eastAsia="仿宋_GB2312" w:cs="仿宋_GB2312"/>
                <w:i w:val="0"/>
                <w:color w:val="000000"/>
                <w:kern w:val="0"/>
                <w:sz w:val="24"/>
                <w:szCs w:val="24"/>
                <w:u w:val="none"/>
                <w:lang w:val="en-US" w:eastAsia="zh-CN" w:bidi="ar"/>
              </w:rPr>
              <w:t>周建香</w:t>
            </w:r>
          </w:p>
        </w:tc>
      </w:tr>
      <w:tr>
        <w:tblPrEx>
          <w:tblCellMar>
            <w:top w:w="0" w:type="dxa"/>
            <w:left w:w="0" w:type="dxa"/>
            <w:bottom w:w="0" w:type="dxa"/>
            <w:right w:w="0" w:type="dxa"/>
          </w:tblCellMar>
        </w:tblPrEx>
        <w:trPr>
          <w:trHeight w:val="499"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部门基本信息</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预算单位</w:t>
            </w:r>
          </w:p>
        </w:tc>
        <w:tc>
          <w:tcPr>
            <w:tcW w:w="67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衡阳市南岳区祝融街道财政所</w:t>
            </w:r>
          </w:p>
        </w:tc>
      </w:tr>
      <w:tr>
        <w:tblPrEx>
          <w:tblCellMar>
            <w:top w:w="0" w:type="dxa"/>
            <w:left w:w="0" w:type="dxa"/>
            <w:bottom w:w="0" w:type="dxa"/>
            <w:right w:w="0" w:type="dxa"/>
          </w:tblCellMar>
        </w:tblPrEx>
        <w:trPr>
          <w:trHeight w:val="66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绩效管理</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联系人</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陈琳</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联系电话</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18188974657</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人员编制数</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 xml:space="preserve"> 实有人数</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r>
      <w:tr>
        <w:tblPrEx>
          <w:tblCellMar>
            <w:top w:w="0" w:type="dxa"/>
            <w:left w:w="0" w:type="dxa"/>
            <w:bottom w:w="0" w:type="dxa"/>
            <w:right w:w="0" w:type="dxa"/>
          </w:tblCellMar>
        </w:tblPrEx>
        <w:trPr>
          <w:trHeight w:val="354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部门职能</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职责概述</w:t>
            </w:r>
          </w:p>
        </w:tc>
        <w:tc>
          <w:tcPr>
            <w:tcW w:w="67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157" w:beforeLines="50" w:after="157" w:afterLines="50" w:line="340" w:lineRule="exact"/>
              <w:ind w:left="105" w:leftChars="50" w:right="105" w:rightChars="5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贯彻执行国家和省、市、区有关财政、税收的法律、法规、规章、方针政策和地方性规章制度。2．负责祝融街道办事处年度预决算编制、预算执行、预算调整和预算内外收支管理。负责祝融街道办事处的财务管理和核算；负责涉农及社会保障等专户资金的管理和核算；负责社区资金的核拨和监管；负责各项居民补贴的核拨和兑付工作。</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 xml:space="preserve">3．制订财政和预算收入计划；管理和监督各项财政收入。 </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4．管理和监督各项财政支出；管理街道预算内、外资金及各项政府性基金；管理财政票据。</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5．执行全区统一规定的行政事业单位开支标准和政府采购政策、制度。</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6．参与财政性资金项目安排总量研究；组织调度财政性基本建设资金；参与财政性资金投资项目的工程概、预算审核，负责对财政性资金投资项目的工程结算进行审核；监督执行政府采购政策。</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7．在南岳区党政门户网上负责办事处及财政所年度部门财务预算公开和决算公开。财政专项资金管理，按照专款专用的原则，管好、用好各项专项资金，对年度专项资金超过10万元以上的专项资金进行绩效评价。</w:t>
            </w:r>
            <w:r>
              <w:rPr>
                <w:rFonts w:hint="default" w:ascii="仿宋_GB2312" w:hAnsi="宋体" w:eastAsia="仿宋_GB2312" w:cs="仿宋_GB2312"/>
                <w:i w:val="0"/>
                <w:color w:val="000000"/>
                <w:kern w:val="0"/>
                <w:sz w:val="24"/>
                <w:szCs w:val="24"/>
                <w:u w:val="none"/>
                <w:lang w:val="en-US" w:eastAsia="zh-CN" w:bidi="ar"/>
              </w:rPr>
              <w:br w:type="textWrapping"/>
            </w:r>
            <w:r>
              <w:rPr>
                <w:rFonts w:hint="default" w:ascii="仿宋_GB2312" w:hAnsi="宋体" w:eastAsia="仿宋_GB2312" w:cs="仿宋_GB2312"/>
                <w:i w:val="0"/>
                <w:color w:val="000000"/>
                <w:kern w:val="0"/>
                <w:sz w:val="24"/>
                <w:szCs w:val="24"/>
                <w:u w:val="none"/>
                <w:lang w:val="en-US" w:eastAsia="zh-CN" w:bidi="ar"/>
              </w:rPr>
              <w:t>8．监督财税方针、政策、法规和财会制度的执行情况；检查、反映财政收支管理中的重大问题，提出加强财政管理的政策建议。完成领导交办的其他工作。</w:t>
            </w:r>
          </w:p>
        </w:tc>
      </w:tr>
      <w:tr>
        <w:tblPrEx>
          <w:shd w:val="clear" w:color="auto" w:fill="auto"/>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819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单位年度收入预算（万元）</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收入合计</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一般公共预算</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政府性基金拨款</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非税收入拨款</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其他资金</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53.33</w:t>
            </w:r>
          </w:p>
        </w:tc>
        <w:tc>
          <w:tcPr>
            <w:tcW w:w="382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53.33</w:t>
            </w:r>
          </w:p>
        </w:tc>
        <w:tc>
          <w:tcPr>
            <w:tcW w:w="71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7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819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单位年度支出预算（万元）</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支出合计</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基本支出</w:t>
            </w:r>
          </w:p>
        </w:tc>
        <w:tc>
          <w:tcPr>
            <w:tcW w:w="22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项目支出</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53.33</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52.78</w:t>
            </w:r>
          </w:p>
        </w:tc>
        <w:tc>
          <w:tcPr>
            <w:tcW w:w="223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0.55</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其中</w:t>
            </w:r>
          </w:p>
        </w:tc>
        <w:tc>
          <w:tcPr>
            <w:tcW w:w="677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三公经费预算（万元）</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公务用车运行和购置费</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因公出国（境）费</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公务接待费</w:t>
            </w:r>
          </w:p>
        </w:tc>
      </w:tr>
      <w:tr>
        <w:tblPrEx>
          <w:tblCellMar>
            <w:top w:w="0" w:type="dxa"/>
            <w:left w:w="0" w:type="dxa"/>
            <w:bottom w:w="0" w:type="dxa"/>
            <w:right w:w="0" w:type="dxa"/>
          </w:tblCellMar>
        </w:tblPrEx>
        <w:trPr>
          <w:trHeight w:val="499"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4539"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171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0</w:t>
            </w:r>
          </w:p>
        </w:tc>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0" w:type="dxa"/>
            <w:bottom w:w="0" w:type="dxa"/>
            <w:right w:w="0" w:type="dxa"/>
          </w:tblCellMar>
        </w:tblPrEx>
        <w:trPr>
          <w:trHeight w:val="1450" w:hRule="atLeast"/>
          <w:jc w:val="center"/>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部门整体支出年度绩效目标</w:t>
            </w:r>
            <w:r>
              <w:rPr>
                <w:rFonts w:hint="eastAsia" w:ascii="黑体" w:hAnsi="宋体" w:eastAsia="黑体" w:cs="黑体"/>
                <w:i w:val="0"/>
                <w:color w:val="000000"/>
                <w:kern w:val="0"/>
                <w:sz w:val="24"/>
                <w:szCs w:val="24"/>
                <w:u w:val="none"/>
                <w:lang w:val="en-US" w:eastAsia="zh-CN" w:bidi="ar"/>
              </w:rPr>
              <w:br w:type="textWrapping"/>
            </w:r>
          </w:p>
        </w:tc>
        <w:tc>
          <w:tcPr>
            <w:tcW w:w="8197"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8"/>
                <w:szCs w:val="28"/>
                <w:u w:val="none"/>
                <w:lang w:val="en-US" w:eastAsia="zh-CN" w:bidi="ar"/>
              </w:rPr>
              <w:t>在今年收支预算内，确保完成以下整体目标：</w:t>
            </w:r>
            <w:r>
              <w:rPr>
                <w:rFonts w:hint="default" w:ascii="仿宋_GB2312" w:hAnsi="宋体" w:eastAsia="仿宋_GB2312" w:cs="仿宋_GB2312"/>
                <w:i w:val="0"/>
                <w:color w:val="000000"/>
                <w:kern w:val="0"/>
                <w:sz w:val="28"/>
                <w:szCs w:val="28"/>
                <w:u w:val="none"/>
                <w:lang w:val="en-US" w:eastAsia="zh-CN" w:bidi="ar"/>
              </w:rPr>
              <w:br w:type="textWrapping"/>
            </w:r>
            <w:r>
              <w:rPr>
                <w:rFonts w:hint="default" w:ascii="仿宋_GB2312" w:hAnsi="宋体" w:eastAsia="仿宋_GB2312" w:cs="仿宋_GB2312"/>
                <w:i w:val="0"/>
                <w:color w:val="000000"/>
                <w:kern w:val="0"/>
                <w:sz w:val="28"/>
                <w:szCs w:val="28"/>
                <w:u w:val="none"/>
                <w:lang w:val="en-US" w:eastAsia="zh-CN" w:bidi="ar"/>
              </w:rPr>
              <w:t>目标1：保障财政所人员正常工资待遇，财政所工作正常运转；</w:t>
            </w:r>
            <w:r>
              <w:rPr>
                <w:rFonts w:hint="default" w:ascii="仿宋_GB2312" w:hAnsi="宋体" w:eastAsia="仿宋_GB2312" w:cs="仿宋_GB2312"/>
                <w:i w:val="0"/>
                <w:color w:val="000000"/>
                <w:kern w:val="0"/>
                <w:sz w:val="28"/>
                <w:szCs w:val="28"/>
                <w:u w:val="none"/>
                <w:lang w:val="en-US" w:eastAsia="zh-CN" w:bidi="ar"/>
              </w:rPr>
              <w:br w:type="textWrapping"/>
            </w:r>
            <w:r>
              <w:rPr>
                <w:rFonts w:hint="default" w:ascii="仿宋_GB2312" w:hAnsi="宋体" w:eastAsia="仿宋_GB2312" w:cs="仿宋_GB2312"/>
                <w:i w:val="0"/>
                <w:color w:val="000000"/>
                <w:kern w:val="0"/>
                <w:sz w:val="28"/>
                <w:szCs w:val="28"/>
                <w:u w:val="none"/>
                <w:lang w:val="en-US" w:eastAsia="zh-CN" w:bidi="ar"/>
              </w:rPr>
              <w:t>目标2：</w:t>
            </w:r>
            <w:r>
              <w:rPr>
                <w:rFonts w:hint="eastAsia" w:ascii="仿宋_GB2312" w:hAnsi="宋体" w:eastAsia="仿宋_GB2312" w:cs="仿宋_GB2312"/>
                <w:i w:val="0"/>
                <w:color w:val="000000"/>
                <w:kern w:val="0"/>
                <w:sz w:val="28"/>
                <w:szCs w:val="28"/>
                <w:u w:val="none"/>
                <w:lang w:val="en-US" w:eastAsia="zh-CN" w:bidi="ar"/>
              </w:rPr>
              <w:t>管理和监督各项财政支出，财税方针、政策、法规和财会制度的执行情况和社区资金的核拨和监管</w:t>
            </w:r>
          </w:p>
        </w:tc>
      </w:tr>
      <w:tr>
        <w:tblPrEx>
          <w:tblCellMar>
            <w:top w:w="0" w:type="dxa"/>
            <w:left w:w="0" w:type="dxa"/>
            <w:bottom w:w="0" w:type="dxa"/>
            <w:right w:w="0" w:type="dxa"/>
          </w:tblCellMar>
        </w:tblPrEx>
        <w:trPr>
          <w:trHeight w:val="510" w:hRule="atLeast"/>
          <w:jc w:val="center"/>
        </w:trPr>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一级指标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二级指标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三级指标内容</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三级指标目标值</w:t>
            </w:r>
          </w:p>
        </w:tc>
      </w:tr>
      <w:tr>
        <w:tblPrEx>
          <w:tblCellMar>
            <w:top w:w="0" w:type="dxa"/>
            <w:left w:w="0" w:type="dxa"/>
            <w:bottom w:w="0" w:type="dxa"/>
            <w:right w:w="0" w:type="dxa"/>
          </w:tblCellMar>
        </w:tblPrEx>
        <w:trPr>
          <w:trHeight w:val="510" w:hRule="atLeast"/>
          <w:jc w:val="center"/>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部门</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整体</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支出</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年度</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r>
              <w:rPr>
                <w:rFonts w:hint="eastAsia" w:ascii="黑体" w:hAnsi="宋体" w:eastAsia="黑体" w:cs="黑体"/>
                <w:i w:val="0"/>
                <w:color w:val="000000"/>
                <w:kern w:val="0"/>
                <w:sz w:val="24"/>
                <w:szCs w:val="24"/>
                <w:u w:val="none"/>
                <w:lang w:val="en-US" w:eastAsia="zh-CN" w:bidi="ar"/>
              </w:rPr>
              <w:br w:type="textWrapping"/>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目</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标</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1</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产出指标</w:t>
            </w:r>
          </w:p>
        </w:tc>
        <w:tc>
          <w:tcPr>
            <w:tcW w:w="162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数量指标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财政所人员总数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w:t>
            </w:r>
            <w:r>
              <w:rPr>
                <w:rFonts w:hint="eastAsia" w:ascii="仿宋_GB2312" w:hAnsi="宋体" w:eastAsia="仿宋_GB2312" w:cs="仿宋_GB2312"/>
                <w:i w:val="0"/>
                <w:color w:val="000000"/>
                <w:kern w:val="0"/>
                <w:sz w:val="24"/>
                <w:szCs w:val="24"/>
                <w:u w:val="none"/>
                <w:lang w:val="en-US" w:eastAsia="zh-CN" w:bidi="ar"/>
              </w:rPr>
              <w:t>6</w:t>
            </w:r>
            <w:r>
              <w:rPr>
                <w:rFonts w:hint="default" w:ascii="仿宋_GB2312" w:hAnsi="宋体" w:eastAsia="仿宋_GB2312" w:cs="仿宋_GB2312"/>
                <w:i w:val="0"/>
                <w:color w:val="000000"/>
                <w:kern w:val="0"/>
                <w:sz w:val="24"/>
                <w:szCs w:val="24"/>
                <w:u w:val="none"/>
                <w:lang w:val="en-US" w:eastAsia="zh-CN" w:bidi="ar"/>
              </w:rPr>
              <w:t>人</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质量指标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年底绩效考核合格率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时效指标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财政所工作正常</w:t>
            </w:r>
          </w:p>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运转时间</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全年</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成本指标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财政所人员工资待遇、工作正常运转总金额</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w:t>
            </w:r>
            <w:r>
              <w:rPr>
                <w:rFonts w:hint="eastAsia" w:ascii="仿宋_GB2312" w:hAnsi="宋体" w:eastAsia="仿宋_GB2312" w:cs="仿宋_GB2312"/>
                <w:i w:val="0"/>
                <w:color w:val="000000"/>
                <w:kern w:val="0"/>
                <w:sz w:val="24"/>
                <w:szCs w:val="24"/>
                <w:u w:val="none"/>
                <w:lang w:val="en-US" w:eastAsia="zh-CN" w:bidi="ar"/>
              </w:rPr>
              <w:t>53.33</w:t>
            </w:r>
            <w:r>
              <w:rPr>
                <w:rFonts w:hint="default" w:ascii="仿宋_GB2312" w:hAnsi="宋体" w:eastAsia="仿宋_GB2312" w:cs="仿宋_GB2312"/>
                <w:i w:val="0"/>
                <w:color w:val="000000"/>
                <w:kern w:val="0"/>
                <w:sz w:val="24"/>
                <w:szCs w:val="24"/>
                <w:u w:val="none"/>
                <w:lang w:val="en-US" w:eastAsia="zh-CN" w:bidi="ar"/>
              </w:rPr>
              <w:t>万元</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效益指标</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经济效益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执行标的额到位率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社会效益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维护社会稳定</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有效提高</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可持续影响</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是否可持续</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满意度指标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群众满意度</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10" w:hRule="atLeast"/>
          <w:jc w:val="center"/>
        </w:trPr>
        <w:tc>
          <w:tcPr>
            <w:tcW w:w="93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部门</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整体</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支出</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年度</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指标</w:t>
            </w:r>
            <w:r>
              <w:rPr>
                <w:rFonts w:hint="eastAsia" w:ascii="黑体" w:hAnsi="宋体" w:eastAsia="黑体" w:cs="黑体"/>
                <w:i w:val="0"/>
                <w:color w:val="000000"/>
                <w:kern w:val="0"/>
                <w:sz w:val="24"/>
                <w:szCs w:val="24"/>
                <w:u w:val="none"/>
                <w:lang w:val="en-US" w:eastAsia="zh-CN" w:bidi="ar"/>
              </w:rPr>
              <w:br w:type="textWrapping"/>
            </w:r>
          </w:p>
        </w:tc>
        <w:tc>
          <w:tcPr>
            <w:tcW w:w="5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目</w:t>
            </w:r>
          </w:p>
          <w:p>
            <w:pPr>
              <w:keepNext w:val="0"/>
              <w:keepLines w:val="0"/>
              <w:widowControl/>
              <w:suppressLineNumbers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标</w:t>
            </w:r>
          </w:p>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2</w:t>
            </w:r>
          </w:p>
        </w:tc>
        <w:tc>
          <w:tcPr>
            <w:tcW w:w="14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产出指标</w:t>
            </w:r>
          </w:p>
        </w:tc>
        <w:tc>
          <w:tcPr>
            <w:tcW w:w="1620" w:type="dxa"/>
            <w:gridSpan w:val="2"/>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数量指标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管理和监督资金总数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w:t>
            </w:r>
            <w:r>
              <w:rPr>
                <w:rFonts w:hint="eastAsia" w:ascii="仿宋_GB2312" w:hAnsi="宋体" w:eastAsia="仿宋_GB2312" w:cs="仿宋_GB2312"/>
                <w:i w:val="0"/>
                <w:color w:val="000000"/>
                <w:kern w:val="0"/>
                <w:sz w:val="24"/>
                <w:szCs w:val="24"/>
                <w:u w:val="none"/>
                <w:lang w:val="en-US" w:eastAsia="zh-CN" w:bidi="ar"/>
              </w:rPr>
              <w:t>725.45万元</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管理和监督对象数</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=街道办事处和4个社区</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资金监管覆盖率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资金支付合规率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时效指标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工作任务目标完成</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全年</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资金支付及时率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成本指标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整体预算</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≤53.33万元</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效益指标</w:t>
            </w: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经济效益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执行标的额到位率</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=100%</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社会效益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促进社会稳定</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有效提高</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环境效益</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人居环境改善</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有效提高</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可持续影响</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是否可持续</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是</w:t>
            </w:r>
          </w:p>
        </w:tc>
      </w:tr>
      <w:tr>
        <w:tblPrEx>
          <w:tblCellMar>
            <w:top w:w="0" w:type="dxa"/>
            <w:left w:w="0" w:type="dxa"/>
            <w:bottom w:w="0" w:type="dxa"/>
            <w:right w:w="0" w:type="dxa"/>
          </w:tblCellMar>
        </w:tblPrEx>
        <w:trPr>
          <w:trHeight w:val="510" w:hRule="atLeast"/>
          <w:jc w:val="center"/>
        </w:trPr>
        <w:tc>
          <w:tcPr>
            <w:tcW w:w="93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57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黑体" w:hAnsi="宋体" w:eastAsia="黑体" w:cs="黑体"/>
                <w:i w:val="0"/>
                <w:color w:val="000000"/>
                <w:sz w:val="24"/>
                <w:szCs w:val="24"/>
                <w:u w:val="none"/>
              </w:rPr>
            </w:pPr>
          </w:p>
        </w:tc>
        <w:tc>
          <w:tcPr>
            <w:tcW w:w="1410" w:type="dxa"/>
            <w:gridSpan w:val="2"/>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p>
        </w:tc>
        <w:tc>
          <w:tcPr>
            <w:tcW w:w="1620"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满意度指标</w:t>
            </w:r>
          </w:p>
        </w:tc>
        <w:tc>
          <w:tcPr>
            <w:tcW w:w="2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群众满意度</w:t>
            </w:r>
          </w:p>
        </w:tc>
        <w:tc>
          <w:tcPr>
            <w:tcW w:w="201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default" w:ascii="仿宋_GB2312" w:hAnsi="宋体" w:eastAsia="仿宋_GB2312" w:cs="仿宋_GB2312"/>
                <w:i w:val="0"/>
                <w:color w:val="000000"/>
                <w:kern w:val="0"/>
                <w:sz w:val="24"/>
                <w:szCs w:val="24"/>
                <w:u w:val="none"/>
                <w:lang w:val="en-US" w:eastAsia="zh-CN" w:bidi="ar"/>
              </w:rPr>
              <w:t>≥95%</w:t>
            </w:r>
          </w:p>
        </w:tc>
      </w:tr>
      <w:tr>
        <w:tblPrEx>
          <w:tblCellMar>
            <w:top w:w="0" w:type="dxa"/>
            <w:left w:w="0" w:type="dxa"/>
            <w:bottom w:w="0" w:type="dxa"/>
            <w:right w:w="0" w:type="dxa"/>
          </w:tblCellMar>
        </w:tblPrEx>
        <w:trPr>
          <w:trHeight w:val="1140" w:hRule="atLeast"/>
          <w:jc w:val="center"/>
        </w:trPr>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其他需要说明的问题</w:t>
            </w:r>
          </w:p>
        </w:tc>
        <w:tc>
          <w:tcPr>
            <w:tcW w:w="7627"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3183" w:hRule="atLeast"/>
          <w:jc w:val="center"/>
        </w:trPr>
        <w:tc>
          <w:tcPr>
            <w:tcW w:w="150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财政部门</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业务股室</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审核意见</w:t>
            </w:r>
          </w:p>
        </w:tc>
        <w:tc>
          <w:tcPr>
            <w:tcW w:w="210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（盖章）</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sz w:val="24"/>
                <w:szCs w:val="24"/>
                <w:u w:val="none"/>
              </w:rPr>
            </w:pPr>
            <w:r>
              <w:rPr>
                <w:rFonts w:hint="eastAsia" w:ascii="黑体" w:hAnsi="宋体" w:eastAsia="黑体" w:cs="黑体"/>
                <w:i w:val="0"/>
                <w:color w:val="000000"/>
                <w:kern w:val="0"/>
                <w:sz w:val="24"/>
                <w:szCs w:val="24"/>
                <w:u w:val="none"/>
                <w:lang w:val="en-US" w:eastAsia="zh-CN" w:bidi="ar"/>
              </w:rPr>
              <w:t>年   月   日</w:t>
            </w:r>
          </w:p>
        </w:tc>
        <w:tc>
          <w:tcPr>
            <w:tcW w:w="2715" w:type="dxa"/>
            <w:gridSpan w:val="3"/>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财政部门</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监督绩效股</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审核意见</w:t>
            </w:r>
          </w:p>
        </w:tc>
        <w:tc>
          <w:tcPr>
            <w:tcW w:w="2807" w:type="dxa"/>
            <w:gridSpan w:val="5"/>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（盖章）</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年   月   日</w:t>
            </w:r>
          </w:p>
        </w:tc>
      </w:tr>
    </w:tbl>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50B09"/>
    <w:rsid w:val="33EB70FF"/>
    <w:rsid w:val="4FFE6372"/>
    <w:rsid w:val="54750B09"/>
    <w:rsid w:val="56451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qFormat/>
    <w:uiPriority w:val="0"/>
    <w:rPr>
      <w:rFonts w:hint="default" w:ascii="仿宋_GB2312" w:eastAsia="仿宋_GB2312" w:cs="仿宋_GB2312"/>
      <w:b/>
      <w:color w:val="000000"/>
      <w:sz w:val="32"/>
      <w:szCs w:val="32"/>
      <w:u w:val="single"/>
    </w:rPr>
  </w:style>
  <w:style w:type="character" w:customStyle="1" w:styleId="5">
    <w:name w:val="font111"/>
    <w:basedOn w:val="3"/>
    <w:uiPriority w:val="0"/>
    <w:rPr>
      <w:rFonts w:hint="default" w:ascii="仿宋_GB2312" w:eastAsia="仿宋_GB2312" w:cs="仿宋_GB2312"/>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2020-07-04T21:44:00Z</dcterms:created>
  <dc:creator>风声水起</dc:creator>
  <cp:lastModifiedBy>Administrator</cp:lastModifiedBy>
  <cp:lastPrinted>2020-07-28T07:17:00Z</cp:lastPrinted>
  <dcterms:modified xsi:type="dcterms:W3CDTF">2021-04-12T07:54:34Z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16A1A2BC7C444DD88C1E718C1A17724C</vt:lpwstr>
  </property>
</Properties>
</file>