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cs="Times New Roman"/>
          <w:b/>
          <w:bCs/>
          <w:color w:val="000000"/>
          <w:sz w:val="36"/>
          <w:szCs w:val="36"/>
          <w:lang w:eastAsia="zh-CN"/>
        </w:rPr>
      </w:pPr>
      <w:bookmarkStart w:id="5" w:name="_GoBack"/>
      <w:bookmarkEnd w:id="5"/>
      <w:r>
        <w:rPr>
          <w:rFonts w:ascii="黑体" w:hAnsi="Times New Roman" w:eastAsia="黑体" w:cs="黑体"/>
          <w:b/>
          <w:bCs/>
          <w:color w:val="000000"/>
          <w:sz w:val="36"/>
          <w:szCs w:val="36"/>
          <w:lang w:eastAsia="zh-CN"/>
        </w:rPr>
        <w:t>201</w:t>
      </w:r>
      <w:r>
        <w:rPr>
          <w:rFonts w:hint="eastAsia" w:ascii="黑体" w:hAnsi="Times New Roman" w:eastAsia="黑体" w:cs="黑体"/>
          <w:b/>
          <w:bCs/>
          <w:color w:val="000000"/>
          <w:sz w:val="36"/>
          <w:szCs w:val="36"/>
          <w:lang w:eastAsia="zh-CN"/>
        </w:rPr>
        <w:t>9年南岳区人民医院能力建设与电力改造</w:t>
      </w:r>
      <w:r>
        <w:rPr>
          <w:rFonts w:hint="eastAsia" w:ascii="黑体" w:hAnsi="宋体" w:eastAsia="黑体" w:cs="黑体"/>
          <w:b/>
          <w:bCs/>
          <w:color w:val="000000"/>
          <w:sz w:val="36"/>
          <w:szCs w:val="36"/>
          <w:lang w:eastAsia="zh-CN"/>
        </w:rPr>
        <w:t>绩效评价报告</w:t>
      </w:r>
    </w:p>
    <w:p>
      <w:pPr>
        <w:spacing w:line="240" w:lineRule="exact"/>
        <w:jc w:val="center"/>
        <w:rPr>
          <w:rFonts w:ascii="仿宋_GB2312" w:eastAsia="仿宋_GB2312" w:cs="仿宋_GB2312"/>
          <w:sz w:val="21"/>
          <w:szCs w:val="21"/>
          <w:lang w:eastAsia="zh-CN"/>
        </w:rPr>
      </w:pPr>
    </w:p>
    <w:p>
      <w:pPr>
        <w:spacing w:line="360" w:lineRule="exact"/>
        <w:ind w:firstLine="420" w:firstLineChars="200"/>
        <w:jc w:val="both"/>
        <w:rPr>
          <w:rFonts w:ascii="Times New Roman" w:hAnsi="Times New Roman" w:cs="Times New Roman"/>
          <w:sz w:val="21"/>
          <w:szCs w:val="21"/>
          <w:lang w:eastAsia="zh-CN"/>
        </w:rPr>
      </w:pPr>
    </w:p>
    <w:p>
      <w:pPr>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为加强财政支出管理，提高财政资金使用效益，根据相关规定医院对能力建设与电力改造项目资金实施了绩效评价。现将绩效评价情况报告如下：</w:t>
      </w:r>
    </w:p>
    <w:p>
      <w:pPr>
        <w:rPr>
          <w:rFonts w:asciiTheme="minorEastAsia" w:hAnsiTheme="minorEastAsia" w:eastAsiaTheme="minorEastAsia"/>
          <w:b/>
          <w:sz w:val="30"/>
          <w:szCs w:val="30"/>
        </w:rPr>
      </w:pPr>
      <w:r>
        <w:rPr>
          <w:rFonts w:asciiTheme="minorEastAsia" w:hAnsiTheme="minorEastAsia" w:eastAsiaTheme="minorEastAsia"/>
          <w:sz w:val="30"/>
          <w:szCs w:val="30"/>
        </w:rPr>
        <w:t xml:space="preserve">  </w:t>
      </w:r>
      <w:r>
        <w:rPr>
          <w:rFonts w:asciiTheme="minorEastAsia" w:hAnsiTheme="minorEastAsia" w:eastAsiaTheme="minorEastAsia"/>
          <w:b/>
          <w:sz w:val="30"/>
          <w:szCs w:val="30"/>
        </w:rPr>
        <w:t xml:space="preserve">  </w:t>
      </w:r>
      <w:r>
        <w:rPr>
          <w:rFonts w:hint="eastAsia" w:asciiTheme="minorEastAsia" w:hAnsiTheme="minorEastAsia" w:eastAsiaTheme="minorEastAsia"/>
          <w:b/>
          <w:sz w:val="30"/>
          <w:szCs w:val="30"/>
        </w:rPr>
        <w:t>一、</w:t>
      </w:r>
      <w:bookmarkStart w:id="0" w:name="_Toc381340330"/>
      <w:bookmarkStart w:id="1" w:name="_Toc382993472"/>
      <w:bookmarkStart w:id="2" w:name="_Toc390357455"/>
      <w:r>
        <w:rPr>
          <w:rFonts w:hint="eastAsia" w:asciiTheme="minorEastAsia" w:hAnsiTheme="minorEastAsia" w:eastAsiaTheme="minorEastAsia"/>
          <w:b/>
          <w:sz w:val="30"/>
          <w:szCs w:val="30"/>
        </w:rPr>
        <w:t>成立组织领导</w:t>
      </w:r>
    </w:p>
    <w:bookmarkEnd w:id="0"/>
    <w:bookmarkEnd w:id="1"/>
    <w:bookmarkEnd w:id="2"/>
    <w:p>
      <w:pPr>
        <w:rPr>
          <w:rFonts w:asciiTheme="minorEastAsia" w:hAnsiTheme="minorEastAsia" w:eastAsiaTheme="minorEastAsia"/>
          <w:sz w:val="30"/>
          <w:szCs w:val="30"/>
        </w:rPr>
      </w:pPr>
      <w:r>
        <w:rPr>
          <w:rFonts w:hint="eastAsia" w:asciiTheme="minorEastAsia" w:hAnsiTheme="minorEastAsia" w:eastAsiaTheme="minorEastAsia"/>
          <w:sz w:val="30"/>
          <w:szCs w:val="30"/>
        </w:rPr>
        <w:t>医院成立了绩效评价工作领导小组，负责统一布置绩效评价工作，总体协调绩效评价工作各方面关系，对评价工作进行业务指导，对提交的绩效评价报告进行质量审核和实施绩效评价的具体工作，确保了绩效评价工作顺利进行。</w:t>
      </w:r>
    </w:p>
    <w:p>
      <w:pPr>
        <w:ind w:firstLine="452" w:firstLineChars="150"/>
        <w:rPr>
          <w:rFonts w:asciiTheme="minorEastAsia" w:hAnsiTheme="minorEastAsia" w:eastAsiaTheme="minorEastAsia"/>
          <w:b/>
          <w:sz w:val="30"/>
          <w:szCs w:val="30"/>
        </w:rPr>
      </w:pPr>
      <w:r>
        <w:rPr>
          <w:rFonts w:hint="eastAsia" w:asciiTheme="minorEastAsia" w:hAnsiTheme="minorEastAsia" w:eastAsiaTheme="minorEastAsia"/>
          <w:b/>
          <w:sz w:val="30"/>
          <w:szCs w:val="30"/>
        </w:rPr>
        <w:t>二、项目基本情况</w:t>
      </w:r>
    </w:p>
    <w:p>
      <w:pPr>
        <w:ind w:firstLine="450" w:firstLineChars="15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1、能力建设：旧门诊楼电梯新建1台、旧门诊大门头建设、外墙面亮化2000余平方米、收费室、中西药库房、消毒供应室、吊顶、换门56条、病案室、档案室、楼梯通道、电梯井改造工程、放射室、前坪沥青硬化1200平方米、后坪混凝土硬化400平方米等装修改造项目82.967869万元；设备采购：心电图2台7万元、动态心电图2台7万元 、血球计数仪1台9万元、经颅多普勒1台3万元、真空灭菌柜1台10万元、DR1台50万元、彩超1台80万元、彩电18台3万元。合同价201.23万元；数字化接种门诊系统1套19.2万元。电视机采购2.64万元。以上合计270.0485万元。</w:t>
      </w:r>
    </w:p>
    <w:p>
      <w:pPr>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2、电力改造：新建500KVA欧式箱变压器；新、旧办公楼、家属楼24户、周边邻居水电改造、水井改造及场地硬化；购置100KW柴油发电机组1台; 4自来水表改移1块；新建发电机房18平方米；油烟净化1个及防潮建设。</w:t>
      </w:r>
    </w:p>
    <w:p>
      <w:pPr>
        <w:ind w:firstLine="602" w:firstLineChars="200"/>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三、资金使用情况</w:t>
      </w:r>
    </w:p>
    <w:p>
      <w:pPr>
        <w:ind w:firstLine="450" w:firstLineChars="15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1、能力建设资金</w:t>
      </w:r>
      <w:bookmarkStart w:id="3" w:name="_Toc381340331"/>
      <w:bookmarkStart w:id="4" w:name="_Toc382993473"/>
      <w:r>
        <w:rPr>
          <w:rFonts w:hint="eastAsia" w:asciiTheme="minorEastAsia" w:hAnsiTheme="minorEastAsia" w:eastAsiaTheme="minorEastAsia"/>
          <w:sz w:val="30"/>
          <w:szCs w:val="30"/>
        </w:rPr>
        <w:t>：旧门诊楼装修改造项目82.967869万元，预付58万元；医疗设备合同价201.23万元，预付95%即191.1685万元，剩余5%作为质量保证金，一年后无质量问题再支付；数字化接种门诊系统1套19.2万元，预付95%即18.24万元，剩余5%作为质量保证金，一年后无质量问题再支付。电视机采购2.64万元全部付清。</w:t>
      </w:r>
    </w:p>
    <w:p>
      <w:pPr>
        <w:ind w:firstLine="450" w:firstLineChars="15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 xml:space="preserve">2、电力改造55.74万元全部付清。     </w:t>
      </w:r>
    </w:p>
    <w:p>
      <w:pPr>
        <w:ind w:firstLine="452" w:firstLineChars="150"/>
        <w:rPr>
          <w:rFonts w:asciiTheme="minorEastAsia" w:hAnsiTheme="minorEastAsia" w:eastAsiaTheme="minorEastAsia"/>
          <w:b/>
          <w:sz w:val="30"/>
          <w:szCs w:val="30"/>
        </w:rPr>
      </w:pPr>
      <w:r>
        <w:rPr>
          <w:rFonts w:hint="eastAsia" w:asciiTheme="minorEastAsia" w:hAnsiTheme="minorEastAsia" w:eastAsiaTheme="minorEastAsia"/>
          <w:b/>
          <w:sz w:val="30"/>
          <w:szCs w:val="30"/>
        </w:rPr>
        <w:t>四、项目主要绩效及综合评价结果</w:t>
      </w:r>
    </w:p>
    <w:p>
      <w:pPr>
        <w:ind w:firstLine="450" w:firstLineChars="15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（一）项目的主要绩效</w:t>
      </w:r>
    </w:p>
    <w:p>
      <w:pPr>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1、能力建设：能力建设的完成将对医院的发展起到至关重要促进和夯实硬件基础的作用，将大幅度满足临床需求和广大群众的医疗需求，看病就医环境也将得到改善。提升区级医疗水平，树立区级医疗行业形象。将大幅度提升群众看病就医需求和环境，群众满意度达90%以上。</w:t>
      </w:r>
    </w:p>
    <w:p>
      <w:pPr>
        <w:rPr>
          <w:rFonts w:asciiTheme="minorEastAsia" w:hAnsiTheme="minorEastAsia" w:eastAsiaTheme="minorEastAsia"/>
          <w:sz w:val="30"/>
          <w:szCs w:val="30"/>
        </w:rPr>
      </w:pPr>
      <w:r>
        <w:rPr>
          <w:rFonts w:hint="eastAsia" w:asciiTheme="minorEastAsia" w:hAnsiTheme="minorEastAsia" w:eastAsiaTheme="minorEastAsia"/>
          <w:sz w:val="30"/>
          <w:szCs w:val="30"/>
        </w:rPr>
        <w:t>　</w:t>
      </w:r>
    </w:p>
    <w:p>
      <w:pPr>
        <w:rPr>
          <w:rFonts w:asciiTheme="minorEastAsia" w:hAnsiTheme="minorEastAsia" w:eastAsiaTheme="minorEastAsia"/>
          <w:sz w:val="30"/>
          <w:szCs w:val="30"/>
        </w:rPr>
      </w:pPr>
    </w:p>
    <w:p>
      <w:pPr>
        <w:rPr>
          <w:rFonts w:hint="eastAsia" w:asciiTheme="minorEastAsia" w:hAnsiTheme="minorEastAsia" w:eastAsiaTheme="minorEastAsia"/>
          <w:sz w:val="30"/>
          <w:szCs w:val="30"/>
        </w:rPr>
      </w:pPr>
    </w:p>
    <w:p>
      <w:pPr>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2、电力改造：购置建设变电器及进行配套设施建设，解决了长期以来的历史难题，为医院发展提供了便利，可持续影响10年。</w:t>
      </w:r>
    </w:p>
    <w:p>
      <w:pPr>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（二）综合评价结论</w:t>
      </w:r>
    </w:p>
    <w:p>
      <w:pPr>
        <w:ind w:firstLine="450" w:firstLineChars="150"/>
        <w:rPr>
          <w:rFonts w:asciiTheme="minorEastAsia" w:hAnsiTheme="minorEastAsia" w:eastAsiaTheme="minorEastAsia"/>
          <w:sz w:val="30"/>
          <w:szCs w:val="30"/>
        </w:rPr>
      </w:pPr>
      <w:r>
        <w:rPr>
          <w:rFonts w:hint="eastAsia" w:asciiTheme="minorEastAsia" w:hAnsiTheme="minorEastAsia" w:eastAsiaTheme="minorEastAsia"/>
          <w:sz w:val="30"/>
          <w:szCs w:val="30"/>
        </w:rPr>
        <w:t>绩效评分结果为：100分</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w:t>
      </w:r>
    </w:p>
    <w:p>
      <w:pPr>
        <w:ind w:firstLine="300" w:firstLineChars="1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五、存在的问题</w:t>
      </w:r>
    </w:p>
    <w:p>
      <w:pPr>
        <w:ind w:firstLine="300" w:firstLineChars="100"/>
        <w:rPr>
          <w:rFonts w:asciiTheme="minorEastAsia" w:hAnsiTheme="minorEastAsia" w:eastAsiaTheme="minorEastAsia"/>
          <w:sz w:val="30"/>
          <w:szCs w:val="30"/>
        </w:rPr>
      </w:pPr>
      <w:r>
        <w:rPr>
          <w:rFonts w:hint="eastAsia" w:asciiTheme="minorEastAsia" w:hAnsiTheme="minorEastAsia" w:eastAsiaTheme="minorEastAsia"/>
          <w:sz w:val="30"/>
          <w:szCs w:val="30"/>
        </w:rPr>
        <w:t>医疗设备设施如何发挥最大效率的问题，如使用人才的专业技术水平和设备的后期维护保养等。</w:t>
      </w:r>
    </w:p>
    <w:bookmarkEnd w:id="3"/>
    <w:bookmarkEnd w:id="4"/>
    <w:p>
      <w:pPr>
        <w:tabs>
          <w:tab w:val="left" w:pos="1253"/>
          <w:tab w:val="left" w:pos="2363"/>
          <w:tab w:val="left" w:pos="5123"/>
          <w:tab w:val="left" w:pos="5683"/>
          <w:tab w:val="left" w:pos="10103"/>
        </w:tabs>
        <w:ind w:left="93"/>
        <w:rPr>
          <w:rFonts w:ascii="Times New Roman" w:eastAsia="黑体"/>
          <w:sz w:val="21"/>
          <w:szCs w:val="21"/>
          <w:lang w:eastAsia="zh-CN"/>
        </w:rPr>
      </w:pPr>
    </w:p>
    <w:p>
      <w:pPr>
        <w:tabs>
          <w:tab w:val="left" w:pos="1253"/>
          <w:tab w:val="left" w:pos="2363"/>
          <w:tab w:val="left" w:pos="5123"/>
          <w:tab w:val="left" w:pos="5683"/>
          <w:tab w:val="left" w:pos="10103"/>
        </w:tabs>
        <w:ind w:left="93"/>
        <w:rPr>
          <w:rFonts w:ascii="Times New Roman" w:hAnsi="Times New Roman" w:eastAsia="黑体"/>
          <w:sz w:val="21"/>
          <w:szCs w:val="21"/>
          <w:lang w:eastAsia="zh-CN"/>
        </w:rPr>
      </w:pPr>
      <w:r>
        <w:rPr>
          <w:rFonts w:hint="eastAsia" w:ascii="Times New Roman" w:eastAsia="黑体"/>
          <w:sz w:val="21"/>
          <w:szCs w:val="21"/>
          <w:lang w:eastAsia="zh-CN"/>
        </w:rPr>
        <w:t>附件</w:t>
      </w:r>
      <w:r>
        <w:rPr>
          <w:rFonts w:ascii="Times New Roman" w:hAnsi="Times New Roman" w:eastAsia="黑体"/>
          <w:sz w:val="21"/>
          <w:szCs w:val="21"/>
          <w:lang w:eastAsia="zh-CN"/>
        </w:rPr>
        <w:tab/>
      </w:r>
    </w:p>
    <w:p>
      <w:pPr>
        <w:tabs>
          <w:tab w:val="left" w:pos="1253"/>
          <w:tab w:val="left" w:pos="2363"/>
          <w:tab w:val="left" w:pos="5123"/>
          <w:tab w:val="left" w:pos="5683"/>
          <w:tab w:val="left" w:pos="10103"/>
        </w:tabs>
        <w:ind w:left="93"/>
        <w:rPr>
          <w:rFonts w:ascii="Times New Roman" w:hAnsi="Times New Roman" w:eastAsia="方正小标宋_GBK"/>
          <w:color w:val="000000"/>
          <w:sz w:val="21"/>
          <w:szCs w:val="21"/>
          <w:lang w:eastAsia="zh-CN"/>
        </w:rPr>
      </w:pPr>
      <w:r>
        <w:rPr>
          <w:rFonts w:ascii="Times New Roman" w:hAnsi="Times New Roman" w:eastAsia="黑体"/>
          <w:sz w:val="21"/>
          <w:szCs w:val="21"/>
          <w:lang w:eastAsia="zh-CN"/>
        </w:rPr>
        <w:tab/>
      </w:r>
      <w:r>
        <w:rPr>
          <w:rFonts w:hint="eastAsia" w:ascii="Times New Roman" w:eastAsia="方正小标宋_GBK"/>
          <w:color w:val="000000"/>
          <w:sz w:val="21"/>
          <w:szCs w:val="21"/>
          <w:lang w:eastAsia="zh-CN"/>
        </w:rPr>
        <w:t>项目绩效评价指标评分表</w:t>
      </w:r>
    </w:p>
    <w:tbl>
      <w:tblPr>
        <w:tblStyle w:val="28"/>
        <w:tblW w:w="9779" w:type="dxa"/>
        <w:tblInd w:w="103" w:type="dxa"/>
        <w:tblLayout w:type="fixed"/>
        <w:tblCellMar>
          <w:top w:w="0" w:type="dxa"/>
          <w:left w:w="108" w:type="dxa"/>
          <w:bottom w:w="0" w:type="dxa"/>
          <w:right w:w="108" w:type="dxa"/>
        </w:tblCellMar>
      </w:tblPr>
      <w:tblGrid>
        <w:gridCol w:w="725"/>
        <w:gridCol w:w="417"/>
        <w:gridCol w:w="843"/>
        <w:gridCol w:w="516"/>
        <w:gridCol w:w="2724"/>
        <w:gridCol w:w="3240"/>
        <w:gridCol w:w="677"/>
        <w:gridCol w:w="637"/>
      </w:tblGrid>
      <w:tr>
        <w:tblPrEx>
          <w:tblLayout w:type="fixed"/>
          <w:tblCellMar>
            <w:top w:w="0" w:type="dxa"/>
            <w:left w:w="108" w:type="dxa"/>
            <w:bottom w:w="0" w:type="dxa"/>
            <w:right w:w="108" w:type="dxa"/>
          </w:tblCellMar>
        </w:tblPrEx>
        <w:trPr>
          <w:trHeight w:val="270" w:hRule="atLeast"/>
        </w:trPr>
        <w:tc>
          <w:tcPr>
            <w:tcW w:w="19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1"/>
                <w:szCs w:val="21"/>
                <w:lang w:eastAsia="zh-CN"/>
              </w:rPr>
            </w:pPr>
            <w:r>
              <w:rPr>
                <w:rFonts w:hint="eastAsia" w:ascii="宋体" w:hAnsi="宋体" w:cs="宋体"/>
                <w:b/>
                <w:bCs/>
                <w:sz w:val="21"/>
                <w:szCs w:val="21"/>
                <w:lang w:eastAsia="zh-CN"/>
              </w:rPr>
              <w:t>评价指标</w:t>
            </w:r>
          </w:p>
        </w:tc>
        <w:tc>
          <w:tcPr>
            <w:tcW w:w="516" w:type="dxa"/>
            <w:tcBorders>
              <w:top w:val="single" w:color="auto" w:sz="4" w:space="0"/>
              <w:left w:val="nil"/>
              <w:bottom w:val="single" w:color="auto" w:sz="4" w:space="0"/>
              <w:right w:val="single" w:color="auto" w:sz="4" w:space="0"/>
            </w:tcBorders>
            <w:vAlign w:val="center"/>
          </w:tcPr>
          <w:p>
            <w:pPr>
              <w:jc w:val="center"/>
              <w:rPr>
                <w:rFonts w:ascii="宋体" w:cs="宋体"/>
                <w:b/>
                <w:bCs/>
                <w:sz w:val="21"/>
                <w:szCs w:val="21"/>
                <w:lang w:eastAsia="zh-CN"/>
              </w:rPr>
            </w:pPr>
            <w:r>
              <w:rPr>
                <w:rFonts w:hint="eastAsia" w:ascii="宋体" w:hAnsi="宋体" w:cs="宋体"/>
                <w:b/>
                <w:bCs/>
                <w:sz w:val="21"/>
                <w:szCs w:val="21"/>
                <w:lang w:eastAsia="zh-CN"/>
              </w:rPr>
              <w:t>　</w:t>
            </w:r>
          </w:p>
        </w:tc>
        <w:tc>
          <w:tcPr>
            <w:tcW w:w="27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1"/>
                <w:szCs w:val="21"/>
                <w:lang w:eastAsia="zh-CN"/>
              </w:rPr>
            </w:pPr>
            <w:r>
              <w:rPr>
                <w:rFonts w:hint="eastAsia" w:ascii="宋体" w:hAnsi="宋体" w:cs="宋体"/>
                <w:b/>
                <w:bCs/>
                <w:sz w:val="21"/>
                <w:szCs w:val="21"/>
                <w:lang w:eastAsia="zh-CN"/>
              </w:rPr>
              <w:t>评价内容与计分</w:t>
            </w:r>
          </w:p>
        </w:tc>
        <w:tc>
          <w:tcPr>
            <w:tcW w:w="32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1"/>
                <w:szCs w:val="21"/>
                <w:lang w:eastAsia="zh-CN"/>
              </w:rPr>
            </w:pPr>
            <w:r>
              <w:rPr>
                <w:rFonts w:hint="eastAsia" w:ascii="宋体" w:hAnsi="宋体" w:cs="宋体"/>
                <w:b/>
                <w:bCs/>
                <w:sz w:val="21"/>
                <w:szCs w:val="21"/>
                <w:lang w:eastAsia="zh-CN"/>
              </w:rPr>
              <w:t>计分说明</w:t>
            </w:r>
          </w:p>
        </w:tc>
        <w:tc>
          <w:tcPr>
            <w:tcW w:w="6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1"/>
                <w:szCs w:val="21"/>
                <w:lang w:eastAsia="zh-CN"/>
              </w:rPr>
            </w:pPr>
            <w:r>
              <w:rPr>
                <w:rFonts w:hint="eastAsia" w:ascii="宋体" w:hAnsi="宋体" w:cs="宋体"/>
                <w:b/>
                <w:bCs/>
                <w:sz w:val="21"/>
                <w:szCs w:val="21"/>
                <w:lang w:eastAsia="zh-CN"/>
              </w:rPr>
              <w:t>扣分</w:t>
            </w:r>
          </w:p>
        </w:tc>
        <w:tc>
          <w:tcPr>
            <w:tcW w:w="6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1"/>
                <w:szCs w:val="21"/>
                <w:lang w:eastAsia="zh-CN"/>
              </w:rPr>
            </w:pPr>
            <w:r>
              <w:rPr>
                <w:rFonts w:hint="eastAsia" w:ascii="宋体" w:hAnsi="宋体" w:cs="宋体"/>
                <w:b/>
                <w:bCs/>
                <w:sz w:val="21"/>
                <w:szCs w:val="21"/>
                <w:lang w:eastAsia="zh-CN"/>
              </w:rPr>
              <w:t>评价计分</w:t>
            </w:r>
          </w:p>
        </w:tc>
      </w:tr>
      <w:tr>
        <w:tblPrEx>
          <w:tblLayout w:type="fixed"/>
          <w:tblCellMar>
            <w:top w:w="0" w:type="dxa"/>
            <w:left w:w="108" w:type="dxa"/>
            <w:bottom w:w="0" w:type="dxa"/>
            <w:right w:w="108" w:type="dxa"/>
          </w:tblCellMar>
        </w:tblPrEx>
        <w:trPr>
          <w:trHeight w:val="270" w:hRule="atLeast"/>
        </w:trPr>
        <w:tc>
          <w:tcPr>
            <w:tcW w:w="725" w:type="dxa"/>
            <w:tcBorders>
              <w:top w:val="nil"/>
              <w:left w:val="single" w:color="auto" w:sz="4" w:space="0"/>
              <w:bottom w:val="single" w:color="auto" w:sz="4" w:space="0"/>
              <w:right w:val="single" w:color="auto" w:sz="4" w:space="0"/>
            </w:tcBorders>
            <w:vAlign w:val="center"/>
          </w:tcPr>
          <w:p>
            <w:pPr>
              <w:jc w:val="center"/>
              <w:rPr>
                <w:rFonts w:ascii="宋体" w:cs="宋体"/>
                <w:b/>
                <w:bCs/>
                <w:sz w:val="21"/>
                <w:szCs w:val="21"/>
                <w:lang w:eastAsia="zh-CN"/>
              </w:rPr>
            </w:pPr>
            <w:r>
              <w:rPr>
                <w:rFonts w:hint="eastAsia" w:ascii="宋体" w:hAnsi="宋体" w:cs="宋体"/>
                <w:b/>
                <w:bCs/>
                <w:sz w:val="21"/>
                <w:szCs w:val="21"/>
                <w:lang w:eastAsia="zh-CN"/>
              </w:rPr>
              <w:t>一级</w:t>
            </w:r>
          </w:p>
        </w:tc>
        <w:tc>
          <w:tcPr>
            <w:tcW w:w="417" w:type="dxa"/>
            <w:tcBorders>
              <w:top w:val="nil"/>
              <w:left w:val="nil"/>
              <w:bottom w:val="single" w:color="auto" w:sz="4" w:space="0"/>
              <w:right w:val="single" w:color="auto" w:sz="4" w:space="0"/>
            </w:tcBorders>
            <w:vAlign w:val="center"/>
          </w:tcPr>
          <w:p>
            <w:pPr>
              <w:jc w:val="center"/>
              <w:rPr>
                <w:rFonts w:ascii="宋体" w:cs="宋体"/>
                <w:b/>
                <w:bCs/>
                <w:sz w:val="21"/>
                <w:szCs w:val="21"/>
                <w:lang w:eastAsia="zh-CN"/>
              </w:rPr>
            </w:pPr>
            <w:r>
              <w:rPr>
                <w:rFonts w:hint="eastAsia" w:ascii="宋体" w:hAnsi="宋体" w:cs="宋体"/>
                <w:b/>
                <w:bCs/>
                <w:sz w:val="21"/>
                <w:szCs w:val="21"/>
                <w:lang w:eastAsia="zh-CN"/>
              </w:rPr>
              <w:t>二级</w:t>
            </w:r>
          </w:p>
        </w:tc>
        <w:tc>
          <w:tcPr>
            <w:tcW w:w="843" w:type="dxa"/>
            <w:tcBorders>
              <w:top w:val="nil"/>
              <w:left w:val="nil"/>
              <w:bottom w:val="single" w:color="auto" w:sz="4" w:space="0"/>
              <w:right w:val="single" w:color="auto" w:sz="4" w:space="0"/>
            </w:tcBorders>
            <w:vAlign w:val="center"/>
          </w:tcPr>
          <w:p>
            <w:pPr>
              <w:jc w:val="center"/>
              <w:rPr>
                <w:rFonts w:ascii="宋体" w:cs="宋体"/>
                <w:b/>
                <w:bCs/>
                <w:sz w:val="21"/>
                <w:szCs w:val="21"/>
                <w:lang w:eastAsia="zh-CN"/>
              </w:rPr>
            </w:pPr>
            <w:r>
              <w:rPr>
                <w:rFonts w:hint="eastAsia" w:ascii="宋体" w:hAnsi="宋体" w:cs="宋体"/>
                <w:b/>
                <w:bCs/>
                <w:sz w:val="21"/>
                <w:szCs w:val="21"/>
                <w:lang w:eastAsia="zh-CN"/>
              </w:rPr>
              <w:t>三级</w:t>
            </w:r>
          </w:p>
        </w:tc>
        <w:tc>
          <w:tcPr>
            <w:tcW w:w="516" w:type="dxa"/>
            <w:tcBorders>
              <w:top w:val="nil"/>
              <w:left w:val="nil"/>
              <w:bottom w:val="single" w:color="auto" w:sz="4" w:space="0"/>
              <w:right w:val="single" w:color="auto" w:sz="4" w:space="0"/>
            </w:tcBorders>
            <w:vAlign w:val="center"/>
          </w:tcPr>
          <w:p>
            <w:pPr>
              <w:jc w:val="center"/>
              <w:rPr>
                <w:rFonts w:ascii="宋体" w:cs="宋体"/>
                <w:b/>
                <w:bCs/>
                <w:sz w:val="21"/>
                <w:szCs w:val="21"/>
                <w:lang w:eastAsia="zh-CN"/>
              </w:rPr>
            </w:pPr>
            <w:r>
              <w:rPr>
                <w:rFonts w:hint="eastAsia" w:ascii="宋体" w:hAnsi="宋体" w:cs="宋体"/>
                <w:b/>
                <w:bCs/>
                <w:sz w:val="21"/>
                <w:szCs w:val="21"/>
                <w:lang w:eastAsia="zh-CN"/>
              </w:rPr>
              <w:t>分值</w:t>
            </w:r>
          </w:p>
        </w:tc>
        <w:tc>
          <w:tcPr>
            <w:tcW w:w="27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b/>
                <w:bCs/>
                <w:sz w:val="21"/>
                <w:szCs w:val="21"/>
                <w:lang w:eastAsia="zh-CN"/>
              </w:rPr>
            </w:pPr>
          </w:p>
        </w:tc>
        <w:tc>
          <w:tcPr>
            <w:tcW w:w="32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b/>
                <w:bCs/>
                <w:sz w:val="21"/>
                <w:szCs w:val="21"/>
                <w:lang w:eastAsia="zh-CN"/>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b/>
                <w:bCs/>
                <w:sz w:val="21"/>
                <w:szCs w:val="21"/>
                <w:lang w:eastAsia="zh-CN"/>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b/>
                <w:bCs/>
                <w:sz w:val="21"/>
                <w:szCs w:val="21"/>
                <w:lang w:eastAsia="zh-CN"/>
              </w:rPr>
            </w:pPr>
          </w:p>
        </w:tc>
      </w:tr>
      <w:tr>
        <w:tblPrEx>
          <w:tblLayout w:type="fixed"/>
          <w:tblCellMar>
            <w:top w:w="0" w:type="dxa"/>
            <w:left w:w="108" w:type="dxa"/>
            <w:bottom w:w="0" w:type="dxa"/>
            <w:right w:w="108" w:type="dxa"/>
          </w:tblCellMar>
        </w:tblPrEx>
        <w:trPr>
          <w:trHeight w:val="480" w:hRule="atLeast"/>
        </w:trPr>
        <w:tc>
          <w:tcPr>
            <w:tcW w:w="725" w:type="dxa"/>
            <w:vMerge w:val="restart"/>
            <w:tcBorders>
              <w:top w:val="nil"/>
              <w:left w:val="single" w:color="auto" w:sz="4" w:space="0"/>
              <w:bottom w:val="single" w:color="auto" w:sz="4" w:space="0"/>
              <w:right w:val="single" w:color="auto" w:sz="4" w:space="0"/>
            </w:tcBorders>
            <w:vAlign w:val="center"/>
          </w:tcPr>
          <w:p>
            <w:pPr>
              <w:jc w:val="center"/>
              <w:rPr>
                <w:rFonts w:ascii="宋体" w:cs="宋体"/>
                <w:color w:val="000000"/>
                <w:sz w:val="21"/>
                <w:szCs w:val="21"/>
                <w:lang w:eastAsia="zh-CN"/>
              </w:rPr>
            </w:pPr>
            <w:r>
              <w:rPr>
                <w:rFonts w:hint="eastAsia" w:ascii="宋体" w:hAnsi="宋体" w:cs="宋体"/>
                <w:color w:val="000000"/>
                <w:sz w:val="21"/>
                <w:szCs w:val="21"/>
                <w:lang w:eastAsia="zh-CN"/>
              </w:rPr>
              <w:t>项目决策（</w:t>
            </w:r>
            <w:r>
              <w:rPr>
                <w:rFonts w:ascii="宋体" w:hAnsi="宋体" w:cs="宋体"/>
                <w:color w:val="000000"/>
                <w:sz w:val="21"/>
                <w:szCs w:val="21"/>
                <w:lang w:eastAsia="zh-CN"/>
              </w:rPr>
              <w:t>20</w:t>
            </w:r>
            <w:r>
              <w:rPr>
                <w:rFonts w:hint="eastAsia" w:ascii="宋体" w:hAnsi="宋体" w:cs="宋体"/>
                <w:color w:val="000000"/>
                <w:sz w:val="21"/>
                <w:szCs w:val="21"/>
                <w:lang w:eastAsia="zh-CN"/>
              </w:rPr>
              <w:t>分）</w:t>
            </w:r>
          </w:p>
        </w:tc>
        <w:tc>
          <w:tcPr>
            <w:tcW w:w="417" w:type="dxa"/>
            <w:vMerge w:val="restart"/>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决策过程</w:t>
            </w: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项目绩效目标</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3</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目标明确，计</w:t>
            </w:r>
            <w:r>
              <w:rPr>
                <w:rFonts w:ascii="宋体" w:hAnsi="宋体" w:cs="宋体"/>
                <w:sz w:val="21"/>
                <w:szCs w:val="21"/>
                <w:lang w:eastAsia="zh-CN"/>
              </w:rPr>
              <w:t>1</w:t>
            </w:r>
            <w:r>
              <w:rPr>
                <w:rFonts w:hint="eastAsia" w:ascii="宋体" w:hAnsi="宋体" w:cs="宋体"/>
                <w:sz w:val="21"/>
                <w:szCs w:val="21"/>
                <w:lang w:eastAsia="zh-CN"/>
              </w:rPr>
              <w:t>分；目标细化，计</w:t>
            </w:r>
            <w:r>
              <w:rPr>
                <w:rFonts w:ascii="宋体" w:hAnsi="宋体" w:cs="宋体"/>
                <w:sz w:val="21"/>
                <w:szCs w:val="21"/>
                <w:lang w:eastAsia="zh-CN"/>
              </w:rPr>
              <w:t>1</w:t>
            </w:r>
            <w:r>
              <w:rPr>
                <w:rFonts w:hint="eastAsia" w:ascii="宋体" w:hAnsi="宋体" w:cs="宋体"/>
                <w:sz w:val="21"/>
                <w:szCs w:val="21"/>
                <w:lang w:eastAsia="zh-CN"/>
              </w:rPr>
              <w:t>分；目标量化，计</w:t>
            </w:r>
            <w:r>
              <w:rPr>
                <w:rFonts w:ascii="宋体" w:hAnsi="宋体" w:cs="宋体"/>
                <w:sz w:val="21"/>
                <w:szCs w:val="21"/>
                <w:lang w:eastAsia="zh-CN"/>
              </w:rPr>
              <w:t>1</w:t>
            </w:r>
            <w:r>
              <w:rPr>
                <w:rFonts w:hint="eastAsia" w:ascii="宋体" w:hAnsi="宋体" w:cs="宋体"/>
                <w:sz w:val="21"/>
                <w:szCs w:val="21"/>
                <w:lang w:eastAsia="zh-CN"/>
              </w:rPr>
              <w:t>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设有目标，且目标明确、细化、量化。</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3</w:t>
            </w:r>
          </w:p>
        </w:tc>
      </w:tr>
      <w:tr>
        <w:tblPrEx>
          <w:tblLayout w:type="fixed"/>
          <w:tblCellMar>
            <w:top w:w="0" w:type="dxa"/>
            <w:left w:w="108" w:type="dxa"/>
            <w:bottom w:w="0" w:type="dxa"/>
            <w:right w:w="108" w:type="dxa"/>
          </w:tblCellMar>
        </w:tblPrEx>
        <w:trPr>
          <w:trHeight w:val="48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color w:val="000000"/>
                <w:sz w:val="21"/>
                <w:szCs w:val="21"/>
                <w:lang w:eastAsia="zh-CN"/>
              </w:rPr>
            </w:pPr>
          </w:p>
        </w:tc>
        <w:tc>
          <w:tcPr>
            <w:tcW w:w="417"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项目决策依据</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2</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项目决策科学合理，计</w:t>
            </w:r>
            <w:r>
              <w:rPr>
                <w:rFonts w:ascii="宋体" w:hAnsi="宋体" w:cs="宋体"/>
                <w:sz w:val="21"/>
                <w:szCs w:val="21"/>
                <w:lang w:eastAsia="zh-CN"/>
              </w:rPr>
              <w:t>2</w:t>
            </w:r>
            <w:r>
              <w:rPr>
                <w:rFonts w:hint="eastAsia" w:ascii="宋体" w:hAnsi="宋体" w:cs="宋体"/>
                <w:sz w:val="21"/>
                <w:szCs w:val="21"/>
                <w:lang w:eastAsia="zh-CN"/>
              </w:rPr>
              <w:t>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根据实际情况确定工作计划</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2</w:t>
            </w:r>
          </w:p>
        </w:tc>
      </w:tr>
      <w:tr>
        <w:tblPrEx>
          <w:tblLayout w:type="fixed"/>
          <w:tblCellMar>
            <w:top w:w="0" w:type="dxa"/>
            <w:left w:w="108" w:type="dxa"/>
            <w:bottom w:w="0" w:type="dxa"/>
            <w:right w:w="108" w:type="dxa"/>
          </w:tblCellMar>
        </w:tblPrEx>
        <w:trPr>
          <w:trHeight w:val="90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color w:val="000000"/>
                <w:sz w:val="21"/>
                <w:szCs w:val="21"/>
                <w:lang w:eastAsia="zh-CN"/>
              </w:rPr>
            </w:pPr>
          </w:p>
        </w:tc>
        <w:tc>
          <w:tcPr>
            <w:tcW w:w="417"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资金分配</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3</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项目资金分配方案科学可行，实际分配严格按分配方案实施计</w:t>
            </w:r>
            <w:r>
              <w:rPr>
                <w:rFonts w:ascii="宋体" w:hAnsi="宋体" w:cs="宋体"/>
                <w:sz w:val="21"/>
                <w:szCs w:val="21"/>
                <w:lang w:eastAsia="zh-CN"/>
              </w:rPr>
              <w:t>3</w:t>
            </w:r>
            <w:r>
              <w:rPr>
                <w:rFonts w:hint="eastAsia" w:ascii="宋体" w:hAnsi="宋体" w:cs="宋体"/>
                <w:sz w:val="21"/>
                <w:szCs w:val="21"/>
                <w:lang w:eastAsia="zh-CN"/>
              </w:rPr>
              <w:t>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sz w:val="21"/>
                <w:szCs w:val="21"/>
                <w:lang w:eastAsia="zh-CN"/>
              </w:rPr>
              <w:t>资金分配有分配到其他不相关项目，资金分配依据不充分。实际拨付未严格按分配方案进行。</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2</w:t>
            </w:r>
          </w:p>
        </w:tc>
      </w:tr>
      <w:tr>
        <w:tblPrEx>
          <w:tblLayout w:type="fixed"/>
          <w:tblCellMar>
            <w:top w:w="0" w:type="dxa"/>
            <w:left w:w="108" w:type="dxa"/>
            <w:bottom w:w="0" w:type="dxa"/>
            <w:right w:w="108" w:type="dxa"/>
          </w:tblCellMar>
        </w:tblPrEx>
        <w:trPr>
          <w:trHeight w:val="1635"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color w:val="000000"/>
                <w:sz w:val="21"/>
                <w:szCs w:val="21"/>
                <w:lang w:eastAsia="zh-CN"/>
              </w:rPr>
            </w:pPr>
          </w:p>
        </w:tc>
        <w:tc>
          <w:tcPr>
            <w:tcW w:w="417" w:type="dxa"/>
            <w:vMerge w:val="restart"/>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决策执行</w:t>
            </w: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预算执行率</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4</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资金按相关要求及分配方案标准全额拨付到项目实施单位，计</w:t>
            </w:r>
            <w:r>
              <w:rPr>
                <w:rFonts w:ascii="宋体" w:hAnsi="宋体" w:cs="宋体"/>
                <w:sz w:val="21"/>
                <w:szCs w:val="21"/>
                <w:lang w:eastAsia="zh-CN"/>
              </w:rPr>
              <w:t>4</w:t>
            </w:r>
            <w:r>
              <w:rPr>
                <w:rFonts w:hint="eastAsia" w:ascii="宋体" w:hAnsi="宋体" w:cs="宋体"/>
                <w:sz w:val="21"/>
                <w:szCs w:val="21"/>
                <w:lang w:eastAsia="zh-CN"/>
              </w:rPr>
              <w:t>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sz w:val="21"/>
                <w:szCs w:val="21"/>
                <w:lang w:eastAsia="zh-CN"/>
              </w:rPr>
              <w:t>1</w:t>
            </w:r>
            <w:r>
              <w:rPr>
                <w:rFonts w:hint="eastAsia"/>
                <w:sz w:val="21"/>
                <w:szCs w:val="21"/>
                <w:lang w:eastAsia="zh-CN"/>
              </w:rPr>
              <w:t>、未按时拨付资金，</w:t>
            </w:r>
            <w:r>
              <w:rPr>
                <w:sz w:val="21"/>
                <w:szCs w:val="21"/>
                <w:lang w:eastAsia="zh-CN"/>
              </w:rPr>
              <w:t>2</w:t>
            </w:r>
            <w:r>
              <w:rPr>
                <w:rFonts w:hint="eastAsia"/>
                <w:sz w:val="21"/>
                <w:szCs w:val="21"/>
                <w:lang w:eastAsia="zh-CN"/>
              </w:rPr>
              <w:t>、拨付资金与项目单位入账金额存在差额，</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4</w:t>
            </w:r>
          </w:p>
        </w:tc>
      </w:tr>
      <w:tr>
        <w:tblPrEx>
          <w:tblLayout w:type="fixed"/>
          <w:tblCellMar>
            <w:top w:w="0" w:type="dxa"/>
            <w:left w:w="108" w:type="dxa"/>
            <w:bottom w:w="0" w:type="dxa"/>
            <w:right w:w="108" w:type="dxa"/>
          </w:tblCellMar>
        </w:tblPrEx>
        <w:trPr>
          <w:trHeight w:val="72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color w:val="000000"/>
                <w:sz w:val="21"/>
                <w:szCs w:val="21"/>
                <w:lang w:eastAsia="zh-CN"/>
              </w:rPr>
            </w:pPr>
          </w:p>
        </w:tc>
        <w:tc>
          <w:tcPr>
            <w:tcW w:w="417"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预算执行及时性</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3</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下拨资金是否按要求及时支付，计</w:t>
            </w:r>
            <w:r>
              <w:rPr>
                <w:rFonts w:ascii="宋体" w:hAnsi="宋体" w:cs="宋体"/>
                <w:sz w:val="21"/>
                <w:szCs w:val="21"/>
                <w:lang w:eastAsia="zh-CN"/>
              </w:rPr>
              <w:t>3</w:t>
            </w:r>
            <w:r>
              <w:rPr>
                <w:rFonts w:hint="eastAsia" w:ascii="宋体" w:hAnsi="宋体" w:cs="宋体"/>
                <w:sz w:val="21"/>
                <w:szCs w:val="21"/>
                <w:lang w:eastAsia="zh-CN"/>
              </w:rPr>
              <w:t>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未按要求比例和时间拨付</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3</w:t>
            </w:r>
          </w:p>
        </w:tc>
      </w:tr>
      <w:tr>
        <w:tblPrEx>
          <w:tblLayout w:type="fixed"/>
          <w:tblCellMar>
            <w:top w:w="0" w:type="dxa"/>
            <w:left w:w="108" w:type="dxa"/>
            <w:bottom w:w="0" w:type="dxa"/>
            <w:right w:w="108" w:type="dxa"/>
          </w:tblCellMar>
        </w:tblPrEx>
        <w:trPr>
          <w:trHeight w:val="78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color w:val="000000"/>
                <w:sz w:val="21"/>
                <w:szCs w:val="21"/>
                <w:lang w:eastAsia="zh-CN"/>
              </w:rPr>
            </w:pPr>
          </w:p>
        </w:tc>
        <w:tc>
          <w:tcPr>
            <w:tcW w:w="417" w:type="dxa"/>
            <w:vMerge w:val="restart"/>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管理监督</w:t>
            </w: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管理制度</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2</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制定完善的专项资金管理制度计</w:t>
            </w:r>
            <w:r>
              <w:rPr>
                <w:rFonts w:ascii="宋体" w:hAnsi="宋体" w:cs="宋体"/>
                <w:sz w:val="21"/>
                <w:szCs w:val="21"/>
                <w:lang w:eastAsia="zh-CN"/>
              </w:rPr>
              <w:t>1</w:t>
            </w:r>
            <w:r>
              <w:rPr>
                <w:rFonts w:hint="eastAsia" w:ascii="宋体" w:hAnsi="宋体" w:cs="宋体"/>
                <w:sz w:val="21"/>
                <w:szCs w:val="21"/>
                <w:lang w:eastAsia="zh-CN"/>
              </w:rPr>
              <w:t>分；制定完善的项目考核管理制度计</w:t>
            </w:r>
            <w:r>
              <w:rPr>
                <w:rFonts w:ascii="宋体" w:hAnsi="宋体" w:cs="宋体"/>
                <w:sz w:val="21"/>
                <w:szCs w:val="21"/>
                <w:lang w:eastAsia="zh-CN"/>
              </w:rPr>
              <w:t>1</w:t>
            </w:r>
            <w:r>
              <w:rPr>
                <w:rFonts w:hint="eastAsia" w:ascii="宋体" w:hAnsi="宋体" w:cs="宋体"/>
                <w:sz w:val="21"/>
                <w:szCs w:val="21"/>
                <w:lang w:eastAsia="zh-CN"/>
              </w:rPr>
              <w:t>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制定专项资金管理制度、项目管理考核制度</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2</w:t>
            </w:r>
          </w:p>
        </w:tc>
      </w:tr>
      <w:tr>
        <w:tblPrEx>
          <w:tblLayout w:type="fixed"/>
          <w:tblCellMar>
            <w:top w:w="0" w:type="dxa"/>
            <w:left w:w="108" w:type="dxa"/>
            <w:bottom w:w="0" w:type="dxa"/>
            <w:right w:w="108" w:type="dxa"/>
          </w:tblCellMar>
        </w:tblPrEx>
        <w:trPr>
          <w:trHeight w:val="72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color w:val="000000"/>
                <w:sz w:val="21"/>
                <w:szCs w:val="21"/>
                <w:lang w:eastAsia="zh-CN"/>
              </w:rPr>
            </w:pPr>
          </w:p>
        </w:tc>
        <w:tc>
          <w:tcPr>
            <w:tcW w:w="417"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监督检查</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3</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有一次以上严格、规范、有效的监督检查，计</w:t>
            </w:r>
            <w:r>
              <w:rPr>
                <w:rFonts w:ascii="宋体" w:hAnsi="宋体" w:cs="宋体"/>
                <w:sz w:val="21"/>
                <w:szCs w:val="21"/>
                <w:lang w:eastAsia="zh-CN"/>
              </w:rPr>
              <w:t>3</w:t>
            </w:r>
            <w:r>
              <w:rPr>
                <w:rFonts w:hint="eastAsia" w:ascii="宋体" w:hAnsi="宋体" w:cs="宋体"/>
                <w:sz w:val="21"/>
                <w:szCs w:val="21"/>
                <w:lang w:eastAsia="zh-CN"/>
              </w:rPr>
              <w:t>分。其中：布置</w:t>
            </w:r>
            <w:r>
              <w:rPr>
                <w:rFonts w:ascii="宋体" w:hAnsi="宋体" w:cs="宋体"/>
                <w:sz w:val="21"/>
                <w:szCs w:val="21"/>
                <w:lang w:eastAsia="zh-CN"/>
              </w:rPr>
              <w:t>1</w:t>
            </w:r>
            <w:r>
              <w:rPr>
                <w:rFonts w:hint="eastAsia" w:ascii="宋体" w:hAnsi="宋体" w:cs="宋体"/>
                <w:sz w:val="21"/>
                <w:szCs w:val="21"/>
                <w:lang w:eastAsia="zh-CN"/>
              </w:rPr>
              <w:t>分，实施</w:t>
            </w:r>
            <w:r>
              <w:rPr>
                <w:rFonts w:ascii="宋体" w:hAnsi="宋体" w:cs="宋体"/>
                <w:sz w:val="21"/>
                <w:szCs w:val="21"/>
                <w:lang w:eastAsia="zh-CN"/>
              </w:rPr>
              <w:t>1</w:t>
            </w:r>
            <w:r>
              <w:rPr>
                <w:rFonts w:hint="eastAsia" w:ascii="宋体" w:hAnsi="宋体" w:cs="宋体"/>
                <w:sz w:val="21"/>
                <w:szCs w:val="21"/>
                <w:lang w:eastAsia="zh-CN"/>
              </w:rPr>
              <w:t>分，结果</w:t>
            </w:r>
            <w:r>
              <w:rPr>
                <w:rFonts w:ascii="宋体" w:hAnsi="宋体" w:cs="宋体"/>
                <w:sz w:val="21"/>
                <w:szCs w:val="21"/>
                <w:lang w:eastAsia="zh-CN"/>
              </w:rPr>
              <w:t>1</w:t>
            </w:r>
            <w:r>
              <w:rPr>
                <w:rFonts w:hint="eastAsia" w:ascii="宋体" w:hAnsi="宋体" w:cs="宋体"/>
                <w:sz w:val="21"/>
                <w:szCs w:val="21"/>
                <w:lang w:eastAsia="zh-CN"/>
              </w:rPr>
              <w:t>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对项目按要求进行考核、检查、通报</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3</w:t>
            </w:r>
          </w:p>
        </w:tc>
      </w:tr>
      <w:tr>
        <w:tblPrEx>
          <w:tblLayout w:type="fixed"/>
          <w:tblCellMar>
            <w:top w:w="0" w:type="dxa"/>
            <w:left w:w="108" w:type="dxa"/>
            <w:bottom w:w="0" w:type="dxa"/>
            <w:right w:w="108" w:type="dxa"/>
          </w:tblCellMar>
        </w:tblPrEx>
        <w:trPr>
          <w:trHeight w:val="945" w:hRule="atLeast"/>
        </w:trPr>
        <w:tc>
          <w:tcPr>
            <w:tcW w:w="725" w:type="dxa"/>
            <w:vMerge w:val="restart"/>
            <w:tcBorders>
              <w:top w:val="nil"/>
              <w:left w:val="single" w:color="auto" w:sz="4" w:space="0"/>
              <w:bottom w:val="single" w:color="auto" w:sz="4" w:space="0"/>
              <w:right w:val="single" w:color="auto" w:sz="4" w:space="0"/>
            </w:tcBorders>
            <w:vAlign w:val="center"/>
          </w:tcPr>
          <w:p>
            <w:pPr>
              <w:jc w:val="center"/>
              <w:rPr>
                <w:rFonts w:ascii="宋体" w:cs="宋体"/>
                <w:color w:val="000000"/>
                <w:sz w:val="21"/>
                <w:szCs w:val="21"/>
                <w:lang w:eastAsia="zh-CN"/>
              </w:rPr>
            </w:pPr>
            <w:r>
              <w:rPr>
                <w:rFonts w:hint="eastAsia" w:ascii="宋体" w:hAnsi="宋体" w:cs="宋体"/>
                <w:color w:val="000000"/>
                <w:sz w:val="21"/>
                <w:szCs w:val="21"/>
                <w:lang w:eastAsia="zh-CN"/>
              </w:rPr>
              <w:t>项目管理（</w:t>
            </w:r>
            <w:r>
              <w:rPr>
                <w:rFonts w:ascii="宋体" w:hAnsi="宋体" w:cs="宋体"/>
                <w:color w:val="000000"/>
                <w:sz w:val="21"/>
                <w:szCs w:val="21"/>
                <w:lang w:eastAsia="zh-CN"/>
              </w:rPr>
              <w:t>40</w:t>
            </w:r>
            <w:r>
              <w:rPr>
                <w:rFonts w:hint="eastAsia" w:ascii="宋体" w:hAnsi="宋体" w:cs="宋体"/>
                <w:color w:val="000000"/>
                <w:sz w:val="21"/>
                <w:szCs w:val="21"/>
                <w:lang w:eastAsia="zh-CN"/>
              </w:rPr>
              <w:t>分）</w:t>
            </w:r>
          </w:p>
        </w:tc>
        <w:tc>
          <w:tcPr>
            <w:tcW w:w="417"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资金使用</w:t>
            </w: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资金使用情况</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10</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资金使用合理，合规得</w:t>
            </w:r>
            <w:r>
              <w:rPr>
                <w:rFonts w:ascii="宋体" w:hAnsi="宋体" w:cs="宋体"/>
                <w:sz w:val="21"/>
                <w:szCs w:val="21"/>
                <w:lang w:eastAsia="zh-CN"/>
              </w:rPr>
              <w:t>10</w:t>
            </w:r>
            <w:r>
              <w:rPr>
                <w:rFonts w:hint="eastAsia" w:ascii="宋体" w:hAnsi="宋体" w:cs="宋体"/>
                <w:sz w:val="21"/>
                <w:szCs w:val="21"/>
                <w:lang w:eastAsia="zh-CN"/>
              </w:rPr>
              <w:t>分，存在挪用、挤占资金酌情扣分。每存在一项扣</w:t>
            </w:r>
            <w:r>
              <w:rPr>
                <w:rFonts w:ascii="宋体" w:hAnsi="宋体" w:cs="宋体"/>
                <w:sz w:val="21"/>
                <w:szCs w:val="21"/>
                <w:lang w:eastAsia="zh-CN"/>
              </w:rPr>
              <w:t>2</w:t>
            </w:r>
            <w:r>
              <w:rPr>
                <w:rFonts w:hint="eastAsia" w:ascii="宋体" w:hAnsi="宋体" w:cs="宋体"/>
                <w:sz w:val="21"/>
                <w:szCs w:val="21"/>
                <w:lang w:eastAsia="zh-CN"/>
              </w:rPr>
              <w:t>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、未按计划资金要求进行使用，</w:t>
            </w:r>
            <w:r>
              <w:rPr>
                <w:rFonts w:ascii="宋体" w:hAnsi="宋体" w:cs="宋体"/>
                <w:sz w:val="21"/>
                <w:szCs w:val="21"/>
                <w:lang w:eastAsia="zh-CN"/>
              </w:rPr>
              <w:t>2</w:t>
            </w:r>
            <w:r>
              <w:rPr>
                <w:rFonts w:hint="eastAsia" w:ascii="宋体" w:hAnsi="宋体" w:cs="宋体"/>
                <w:sz w:val="21"/>
                <w:szCs w:val="21"/>
                <w:lang w:eastAsia="zh-CN"/>
              </w:rPr>
              <w:t>、存在结余金额较大的情况，3、存在挤占资金重复列支的情况。</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10</w:t>
            </w:r>
          </w:p>
        </w:tc>
      </w:tr>
      <w:tr>
        <w:tblPrEx>
          <w:tblLayout w:type="fixed"/>
          <w:tblCellMar>
            <w:top w:w="0" w:type="dxa"/>
            <w:left w:w="108" w:type="dxa"/>
            <w:bottom w:w="0" w:type="dxa"/>
            <w:right w:w="108" w:type="dxa"/>
          </w:tblCellMar>
        </w:tblPrEx>
        <w:trPr>
          <w:trHeight w:val="99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color w:val="000000"/>
                <w:sz w:val="21"/>
                <w:szCs w:val="21"/>
                <w:lang w:eastAsia="zh-CN"/>
              </w:rPr>
            </w:pPr>
          </w:p>
        </w:tc>
        <w:tc>
          <w:tcPr>
            <w:tcW w:w="417" w:type="dxa"/>
            <w:vMerge w:val="restart"/>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财务管理</w:t>
            </w: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会计核算规范</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5</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会计核算严格遵守有关法规和制度规定计</w:t>
            </w:r>
            <w:r>
              <w:rPr>
                <w:rFonts w:ascii="宋体" w:hAnsi="宋体" w:cs="宋体"/>
                <w:sz w:val="21"/>
                <w:szCs w:val="21"/>
                <w:lang w:eastAsia="zh-CN"/>
              </w:rPr>
              <w:t>5</w:t>
            </w:r>
            <w:r>
              <w:rPr>
                <w:rFonts w:hint="eastAsia" w:ascii="宋体" w:hAnsi="宋体" w:cs="宋体"/>
                <w:sz w:val="21"/>
                <w:szCs w:val="21"/>
                <w:lang w:eastAsia="zh-CN"/>
              </w:rPr>
              <w:t>分，否则不计分。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、专项资金以指标下达后对应往来挂账的形式先期进行核算，不能实际反映专项资金的收付情况，</w:t>
            </w:r>
            <w:r>
              <w:rPr>
                <w:rFonts w:ascii="宋体" w:hAnsi="宋体" w:cs="宋体"/>
                <w:sz w:val="21"/>
                <w:szCs w:val="21"/>
                <w:lang w:eastAsia="zh-CN"/>
              </w:rPr>
              <w:t>2</w:t>
            </w:r>
            <w:r>
              <w:rPr>
                <w:rFonts w:hint="eastAsia" w:ascii="宋体" w:hAnsi="宋体" w:cs="宋体"/>
                <w:sz w:val="21"/>
                <w:szCs w:val="21"/>
                <w:lang w:eastAsia="zh-CN"/>
              </w:rPr>
              <w:t>、存在未专账核算情况。</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5</w:t>
            </w:r>
          </w:p>
        </w:tc>
      </w:tr>
      <w:tr>
        <w:tblPrEx>
          <w:tblLayout w:type="fixed"/>
          <w:tblCellMar>
            <w:top w:w="0" w:type="dxa"/>
            <w:left w:w="108" w:type="dxa"/>
            <w:bottom w:w="0" w:type="dxa"/>
            <w:right w:w="108" w:type="dxa"/>
          </w:tblCellMar>
        </w:tblPrEx>
        <w:trPr>
          <w:trHeight w:val="72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color w:val="000000"/>
                <w:sz w:val="21"/>
                <w:szCs w:val="21"/>
                <w:lang w:eastAsia="zh-CN"/>
              </w:rPr>
            </w:pPr>
          </w:p>
        </w:tc>
        <w:tc>
          <w:tcPr>
            <w:tcW w:w="417"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审批程序规范</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5</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项目支出费用审批严格按制度执行计</w:t>
            </w:r>
            <w:r>
              <w:rPr>
                <w:rFonts w:ascii="宋体" w:hAnsi="宋体" w:cs="宋体"/>
                <w:sz w:val="21"/>
                <w:szCs w:val="21"/>
                <w:lang w:eastAsia="zh-CN"/>
              </w:rPr>
              <w:t>5</w:t>
            </w:r>
            <w:r>
              <w:rPr>
                <w:rFonts w:hint="eastAsia" w:ascii="宋体" w:hAnsi="宋体" w:cs="宋体"/>
                <w:sz w:val="21"/>
                <w:szCs w:val="21"/>
                <w:lang w:eastAsia="zh-CN"/>
              </w:rPr>
              <w:t>分，否则不计分。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、存在将专项资金转入出纳个人账户且无任何审批情况，</w:t>
            </w:r>
            <w:r>
              <w:rPr>
                <w:rFonts w:ascii="宋体" w:hAnsi="宋体" w:cs="宋体"/>
                <w:sz w:val="21"/>
                <w:szCs w:val="21"/>
                <w:lang w:eastAsia="zh-CN"/>
              </w:rPr>
              <w:t>2</w:t>
            </w:r>
            <w:r>
              <w:rPr>
                <w:rFonts w:hint="eastAsia" w:ascii="宋体" w:hAnsi="宋体" w:cs="宋体"/>
                <w:sz w:val="21"/>
                <w:szCs w:val="21"/>
                <w:lang w:eastAsia="zh-CN"/>
              </w:rPr>
              <w:t>、存在无审批将费用支付情况。</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5</w:t>
            </w:r>
          </w:p>
        </w:tc>
      </w:tr>
      <w:tr>
        <w:tblPrEx>
          <w:tblLayout w:type="fixed"/>
          <w:tblCellMar>
            <w:top w:w="0" w:type="dxa"/>
            <w:left w:w="108" w:type="dxa"/>
            <w:bottom w:w="0" w:type="dxa"/>
            <w:right w:w="108" w:type="dxa"/>
          </w:tblCellMar>
        </w:tblPrEx>
        <w:trPr>
          <w:trHeight w:val="60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color w:val="000000"/>
                <w:sz w:val="21"/>
                <w:szCs w:val="21"/>
                <w:lang w:eastAsia="zh-CN"/>
              </w:rPr>
            </w:pPr>
          </w:p>
        </w:tc>
        <w:tc>
          <w:tcPr>
            <w:tcW w:w="417" w:type="dxa"/>
            <w:vMerge w:val="restart"/>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项目管理</w:t>
            </w: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组织领导</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5</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项目管理人员职责分工明确，组织管理规范计</w:t>
            </w:r>
            <w:r>
              <w:rPr>
                <w:rFonts w:ascii="宋体" w:hAnsi="宋体" w:cs="宋体"/>
                <w:sz w:val="21"/>
                <w:szCs w:val="21"/>
                <w:lang w:eastAsia="zh-CN"/>
              </w:rPr>
              <w:t>5</w:t>
            </w:r>
            <w:r>
              <w:rPr>
                <w:rFonts w:hint="eastAsia" w:ascii="宋体" w:hAnsi="宋体" w:cs="宋体"/>
                <w:sz w:val="21"/>
                <w:szCs w:val="21"/>
                <w:lang w:eastAsia="zh-CN"/>
              </w:rPr>
              <w:t>分，否则不计分。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对项目管理人员进行分工。</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5</w:t>
            </w:r>
          </w:p>
        </w:tc>
      </w:tr>
      <w:tr>
        <w:tblPrEx>
          <w:tblLayout w:type="fixed"/>
          <w:tblCellMar>
            <w:top w:w="0" w:type="dxa"/>
            <w:left w:w="108" w:type="dxa"/>
            <w:bottom w:w="0" w:type="dxa"/>
            <w:right w:w="108" w:type="dxa"/>
          </w:tblCellMar>
        </w:tblPrEx>
        <w:trPr>
          <w:trHeight w:val="48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color w:val="000000"/>
                <w:sz w:val="21"/>
                <w:szCs w:val="21"/>
                <w:lang w:eastAsia="zh-CN"/>
              </w:rPr>
            </w:pPr>
          </w:p>
        </w:tc>
        <w:tc>
          <w:tcPr>
            <w:tcW w:w="417"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基础工作</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5</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基础资料和数据保存完整、规范计</w:t>
            </w:r>
            <w:r>
              <w:rPr>
                <w:rFonts w:ascii="宋体" w:hAnsi="宋体" w:cs="宋体"/>
                <w:sz w:val="21"/>
                <w:szCs w:val="21"/>
                <w:lang w:eastAsia="zh-CN"/>
              </w:rPr>
              <w:t>4</w:t>
            </w:r>
            <w:r>
              <w:rPr>
                <w:rFonts w:hint="eastAsia" w:ascii="宋体" w:hAnsi="宋体" w:cs="宋体"/>
                <w:sz w:val="21"/>
                <w:szCs w:val="21"/>
                <w:lang w:eastAsia="zh-CN"/>
              </w:rPr>
              <w:t>分，比较够规范</w:t>
            </w:r>
            <w:r>
              <w:rPr>
                <w:rFonts w:ascii="宋体" w:hAnsi="宋体" w:cs="宋体"/>
                <w:sz w:val="21"/>
                <w:szCs w:val="21"/>
                <w:lang w:eastAsia="zh-CN"/>
              </w:rPr>
              <w:t>2</w:t>
            </w:r>
            <w:r>
              <w:rPr>
                <w:rFonts w:hint="eastAsia" w:ascii="宋体" w:hAnsi="宋体" w:cs="宋体"/>
                <w:sz w:val="21"/>
                <w:szCs w:val="21"/>
                <w:lang w:eastAsia="zh-CN"/>
              </w:rPr>
              <w:t>分，不规范不计分。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现场核查存在台账不齐全，参照评分明细表。</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5</w:t>
            </w:r>
          </w:p>
        </w:tc>
      </w:tr>
      <w:tr>
        <w:tblPrEx>
          <w:tblLayout w:type="fixed"/>
          <w:tblCellMar>
            <w:top w:w="0" w:type="dxa"/>
            <w:left w:w="108" w:type="dxa"/>
            <w:bottom w:w="0" w:type="dxa"/>
            <w:right w:w="108" w:type="dxa"/>
          </w:tblCellMar>
        </w:tblPrEx>
        <w:trPr>
          <w:trHeight w:val="66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color w:val="000000"/>
                <w:sz w:val="21"/>
                <w:szCs w:val="21"/>
                <w:lang w:eastAsia="zh-CN"/>
              </w:rPr>
            </w:pPr>
          </w:p>
        </w:tc>
        <w:tc>
          <w:tcPr>
            <w:tcW w:w="417"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项目管理</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10</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项目执行符合通知规定，做到强化项目宣传和培训，强化资金的管理，完善服务模式和管理方式</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ascii="宋体" w:hAnsi="宋体" w:cs="宋体"/>
                <w:sz w:val="21"/>
                <w:szCs w:val="21"/>
                <w:lang w:eastAsia="zh-CN"/>
              </w:rPr>
              <w:t>1</w:t>
            </w:r>
            <w:r>
              <w:rPr>
                <w:rFonts w:hint="eastAsia" w:ascii="宋体" w:hAnsi="宋体" w:cs="宋体"/>
                <w:sz w:val="21"/>
                <w:szCs w:val="21"/>
                <w:lang w:eastAsia="zh-CN"/>
              </w:rPr>
              <w:t>、存在项目无资金管理办法</w:t>
            </w:r>
            <w:r>
              <w:rPr>
                <w:rFonts w:ascii="宋体" w:hAnsi="宋体" w:cs="宋体"/>
                <w:sz w:val="21"/>
                <w:szCs w:val="21"/>
                <w:lang w:eastAsia="zh-CN"/>
              </w:rPr>
              <w:t>-1</w:t>
            </w:r>
            <w:r>
              <w:rPr>
                <w:rFonts w:hint="eastAsia" w:ascii="宋体" w:hAnsi="宋体" w:cs="宋体"/>
                <w:sz w:val="21"/>
                <w:szCs w:val="21"/>
                <w:lang w:eastAsia="zh-CN"/>
              </w:rPr>
              <w:t>分，根据评分明细表进行加权打分</w:t>
            </w:r>
            <w:r>
              <w:rPr>
                <w:rFonts w:ascii="宋体" w:hAnsi="宋体" w:cs="宋体"/>
                <w:sz w:val="21"/>
                <w:szCs w:val="21"/>
                <w:lang w:eastAsia="zh-CN"/>
              </w:rPr>
              <w:t>-1</w:t>
            </w:r>
            <w:r>
              <w:rPr>
                <w:rFonts w:hint="eastAsia" w:ascii="宋体" w:hAnsi="宋体" w:cs="宋体"/>
                <w:sz w:val="21"/>
                <w:szCs w:val="21"/>
                <w:lang w:eastAsia="zh-CN"/>
              </w:rPr>
              <w:t>分。</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10</w:t>
            </w:r>
          </w:p>
        </w:tc>
      </w:tr>
      <w:tr>
        <w:tblPrEx>
          <w:tblLayout w:type="fixed"/>
          <w:tblCellMar>
            <w:top w:w="0" w:type="dxa"/>
            <w:left w:w="108" w:type="dxa"/>
            <w:bottom w:w="0" w:type="dxa"/>
            <w:right w:w="108" w:type="dxa"/>
          </w:tblCellMar>
        </w:tblPrEx>
        <w:trPr>
          <w:trHeight w:val="705" w:hRule="atLeast"/>
        </w:trPr>
        <w:tc>
          <w:tcPr>
            <w:tcW w:w="725" w:type="dxa"/>
            <w:vMerge w:val="restart"/>
            <w:tcBorders>
              <w:top w:val="nil"/>
              <w:left w:val="single" w:color="auto" w:sz="4" w:space="0"/>
              <w:bottom w:val="single" w:color="auto" w:sz="4" w:space="0"/>
              <w:right w:val="single" w:color="auto" w:sz="4" w:space="0"/>
            </w:tcBorders>
            <w:vAlign w:val="center"/>
          </w:tcPr>
          <w:p>
            <w:pPr>
              <w:jc w:val="center"/>
              <w:rPr>
                <w:rFonts w:ascii="宋体" w:cs="宋体"/>
                <w:sz w:val="21"/>
                <w:szCs w:val="21"/>
                <w:lang w:eastAsia="zh-CN"/>
              </w:rPr>
            </w:pPr>
            <w:r>
              <w:rPr>
                <w:rFonts w:hint="eastAsia" w:ascii="宋体" w:hAnsi="宋体" w:cs="宋体"/>
                <w:sz w:val="21"/>
                <w:szCs w:val="21"/>
                <w:lang w:eastAsia="zh-CN"/>
              </w:rPr>
              <w:t>项目绩效（</w:t>
            </w:r>
            <w:r>
              <w:rPr>
                <w:rFonts w:ascii="宋体" w:hAnsi="宋体" w:cs="宋体"/>
                <w:sz w:val="21"/>
                <w:szCs w:val="21"/>
                <w:lang w:eastAsia="zh-CN"/>
              </w:rPr>
              <w:t>40</w:t>
            </w:r>
            <w:r>
              <w:rPr>
                <w:rFonts w:hint="eastAsia" w:ascii="宋体" w:hAnsi="宋体" w:cs="宋体"/>
                <w:sz w:val="21"/>
                <w:szCs w:val="21"/>
                <w:lang w:eastAsia="zh-CN"/>
              </w:rPr>
              <w:t>分）</w:t>
            </w:r>
          </w:p>
        </w:tc>
        <w:tc>
          <w:tcPr>
            <w:tcW w:w="417" w:type="dxa"/>
            <w:vMerge w:val="restart"/>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项目产出</w:t>
            </w: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项目产出完成率</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11</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项目按计划完成</w:t>
            </w:r>
            <w:r>
              <w:rPr>
                <w:rFonts w:ascii="宋体" w:hAnsi="宋体" w:cs="宋体"/>
                <w:sz w:val="21"/>
                <w:szCs w:val="21"/>
                <w:lang w:eastAsia="zh-CN"/>
              </w:rPr>
              <w:t>11</w:t>
            </w:r>
            <w:r>
              <w:rPr>
                <w:rFonts w:hint="eastAsia" w:ascii="宋体" w:hAnsi="宋体" w:cs="宋体"/>
                <w:sz w:val="21"/>
                <w:szCs w:val="21"/>
                <w:lang w:eastAsia="zh-CN"/>
              </w:rPr>
              <w:t>项任务进行每项任务的考评得分，每项指标</w:t>
            </w:r>
            <w:r>
              <w:rPr>
                <w:rFonts w:ascii="宋体" w:hAnsi="宋体" w:cs="宋体"/>
                <w:sz w:val="21"/>
                <w:szCs w:val="21"/>
                <w:lang w:eastAsia="zh-CN"/>
              </w:rPr>
              <w:t>1</w:t>
            </w:r>
            <w:r>
              <w:rPr>
                <w:rFonts w:hint="eastAsia" w:ascii="宋体" w:hAnsi="宋体" w:cs="宋体"/>
                <w:sz w:val="21"/>
                <w:szCs w:val="21"/>
                <w:lang w:eastAsia="zh-CN"/>
              </w:rPr>
              <w:t>分，按完成比率计算分值。</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评分表</w:t>
            </w:r>
            <w:r>
              <w:rPr>
                <w:rFonts w:ascii="宋体" w:hAnsi="宋体" w:cs="宋体"/>
                <w:sz w:val="21"/>
                <w:szCs w:val="21"/>
                <w:lang w:eastAsia="zh-CN"/>
              </w:rPr>
              <w:t>11</w:t>
            </w:r>
            <w:r>
              <w:rPr>
                <w:rFonts w:hint="eastAsia" w:ascii="宋体" w:hAnsi="宋体" w:cs="宋体"/>
                <w:sz w:val="21"/>
                <w:szCs w:val="21"/>
                <w:lang w:eastAsia="zh-CN"/>
              </w:rPr>
              <w:t>项产出项目加权后得分</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11</w:t>
            </w:r>
          </w:p>
        </w:tc>
      </w:tr>
      <w:tr>
        <w:tblPrEx>
          <w:tblLayout w:type="fixed"/>
          <w:tblCellMar>
            <w:top w:w="0" w:type="dxa"/>
            <w:left w:w="108" w:type="dxa"/>
            <w:bottom w:w="0" w:type="dxa"/>
            <w:right w:w="108" w:type="dxa"/>
          </w:tblCellMar>
        </w:tblPrEx>
        <w:trPr>
          <w:trHeight w:val="48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417"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项目产出质量</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11</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w:t>
            </w:r>
            <w:r>
              <w:rPr>
                <w:rFonts w:ascii="宋体" w:hAnsi="宋体" w:cs="宋体"/>
                <w:sz w:val="21"/>
                <w:szCs w:val="21"/>
                <w:lang w:eastAsia="zh-CN"/>
              </w:rPr>
              <w:t>11</w:t>
            </w:r>
            <w:r>
              <w:rPr>
                <w:rFonts w:hint="eastAsia" w:ascii="宋体" w:hAnsi="宋体" w:cs="宋体"/>
                <w:sz w:val="21"/>
                <w:szCs w:val="21"/>
                <w:lang w:eastAsia="zh-CN"/>
              </w:rPr>
              <w:t>项任务档案质量达到标准合格计</w:t>
            </w:r>
            <w:r>
              <w:rPr>
                <w:rFonts w:ascii="宋体" w:hAnsi="宋体" w:cs="宋体"/>
                <w:sz w:val="21"/>
                <w:szCs w:val="21"/>
                <w:lang w:eastAsia="zh-CN"/>
              </w:rPr>
              <w:t>11</w:t>
            </w:r>
            <w:r>
              <w:rPr>
                <w:rFonts w:hint="eastAsia" w:ascii="宋体" w:hAnsi="宋体" w:cs="宋体"/>
                <w:sz w:val="21"/>
                <w:szCs w:val="21"/>
                <w:lang w:eastAsia="zh-CN"/>
              </w:rPr>
              <w:t>分，每项</w:t>
            </w:r>
            <w:r>
              <w:rPr>
                <w:rFonts w:ascii="宋体" w:hAnsi="宋体" w:cs="宋体"/>
                <w:sz w:val="21"/>
                <w:szCs w:val="21"/>
                <w:lang w:eastAsia="zh-CN"/>
              </w:rPr>
              <w:t>1</w:t>
            </w:r>
            <w:r>
              <w:rPr>
                <w:rFonts w:hint="eastAsia" w:ascii="宋体" w:hAnsi="宋体" w:cs="宋体"/>
                <w:sz w:val="21"/>
                <w:szCs w:val="21"/>
                <w:lang w:eastAsia="zh-CN"/>
              </w:rPr>
              <w:t>分进行指标计分。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评分表</w:t>
            </w:r>
            <w:r>
              <w:rPr>
                <w:rFonts w:ascii="宋体" w:hAnsi="宋体" w:cs="宋体"/>
                <w:sz w:val="21"/>
                <w:szCs w:val="21"/>
                <w:lang w:eastAsia="zh-CN"/>
              </w:rPr>
              <w:t>12</w:t>
            </w:r>
            <w:r>
              <w:rPr>
                <w:rFonts w:hint="eastAsia" w:ascii="宋体" w:hAnsi="宋体" w:cs="宋体"/>
                <w:sz w:val="21"/>
                <w:szCs w:val="21"/>
                <w:lang w:eastAsia="zh-CN"/>
              </w:rPr>
              <w:t>项产出项目加权后得分</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11</w:t>
            </w:r>
          </w:p>
        </w:tc>
      </w:tr>
      <w:tr>
        <w:tblPrEx>
          <w:tblLayout w:type="fixed"/>
          <w:tblCellMar>
            <w:top w:w="0" w:type="dxa"/>
            <w:left w:w="108" w:type="dxa"/>
            <w:bottom w:w="0" w:type="dxa"/>
            <w:right w:w="108" w:type="dxa"/>
          </w:tblCellMar>
        </w:tblPrEx>
        <w:trPr>
          <w:trHeight w:val="48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417"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项目产出时效</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3</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w:t>
            </w:r>
            <w:r>
              <w:rPr>
                <w:rFonts w:ascii="宋体" w:hAnsi="宋体" w:cs="宋体"/>
                <w:sz w:val="21"/>
                <w:szCs w:val="21"/>
                <w:lang w:eastAsia="zh-CN"/>
              </w:rPr>
              <w:t>11</w:t>
            </w:r>
            <w:r>
              <w:rPr>
                <w:rFonts w:hint="eastAsia" w:ascii="宋体" w:hAnsi="宋体" w:cs="宋体"/>
                <w:sz w:val="21"/>
                <w:szCs w:val="21"/>
                <w:lang w:eastAsia="zh-CN"/>
              </w:rPr>
              <w:t>项任务按年度时间完成计</w:t>
            </w:r>
            <w:r>
              <w:rPr>
                <w:rFonts w:ascii="宋体" w:hAnsi="宋体" w:cs="宋体"/>
                <w:sz w:val="21"/>
                <w:szCs w:val="21"/>
                <w:lang w:eastAsia="zh-CN"/>
              </w:rPr>
              <w:t>3</w:t>
            </w:r>
            <w:r>
              <w:rPr>
                <w:rFonts w:hint="eastAsia" w:ascii="宋体" w:hAnsi="宋体" w:cs="宋体"/>
                <w:sz w:val="21"/>
                <w:szCs w:val="21"/>
                <w:lang w:eastAsia="zh-CN"/>
              </w:rPr>
              <w:t>分，未完成的按比例进行扣分。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评分表</w:t>
            </w:r>
            <w:r>
              <w:rPr>
                <w:rFonts w:ascii="宋体" w:hAnsi="宋体" w:cs="宋体"/>
                <w:sz w:val="21"/>
                <w:szCs w:val="21"/>
                <w:lang w:eastAsia="zh-CN"/>
              </w:rPr>
              <w:t>13</w:t>
            </w:r>
            <w:r>
              <w:rPr>
                <w:rFonts w:hint="eastAsia" w:ascii="宋体" w:hAnsi="宋体" w:cs="宋体"/>
                <w:sz w:val="21"/>
                <w:szCs w:val="21"/>
                <w:lang w:eastAsia="zh-CN"/>
              </w:rPr>
              <w:t>项产出项目加权后得分</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3</w:t>
            </w:r>
          </w:p>
        </w:tc>
      </w:tr>
      <w:tr>
        <w:tblPrEx>
          <w:tblLayout w:type="fixed"/>
          <w:tblCellMar>
            <w:top w:w="0" w:type="dxa"/>
            <w:left w:w="108" w:type="dxa"/>
            <w:bottom w:w="0" w:type="dxa"/>
            <w:right w:w="108" w:type="dxa"/>
          </w:tblCellMar>
        </w:tblPrEx>
        <w:trPr>
          <w:trHeight w:val="765"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417" w:type="dxa"/>
            <w:vMerge w:val="restart"/>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项目效果</w:t>
            </w: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社会效益</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5</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项目实施是否产生社会综合效益，通过现场调查问卷进行该指标计分，按卷面分值加权平均进行该指标打分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调查问卷反馈得分</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5</w:t>
            </w:r>
          </w:p>
        </w:tc>
      </w:tr>
      <w:tr>
        <w:tblPrEx>
          <w:tblLayout w:type="fixed"/>
          <w:tblCellMar>
            <w:top w:w="0" w:type="dxa"/>
            <w:left w:w="108" w:type="dxa"/>
            <w:bottom w:w="0" w:type="dxa"/>
            <w:right w:w="108" w:type="dxa"/>
          </w:tblCellMar>
        </w:tblPrEx>
        <w:trPr>
          <w:trHeight w:val="480"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417"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可持续影响</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5</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项目产出能持续运行，计</w:t>
            </w:r>
            <w:r>
              <w:rPr>
                <w:rFonts w:ascii="宋体" w:hAnsi="宋体" w:cs="宋体"/>
                <w:sz w:val="21"/>
                <w:szCs w:val="21"/>
                <w:lang w:eastAsia="zh-CN"/>
              </w:rPr>
              <w:t>2.5</w:t>
            </w:r>
            <w:r>
              <w:rPr>
                <w:rFonts w:hint="eastAsia" w:ascii="宋体" w:hAnsi="宋体" w:cs="宋体"/>
                <w:sz w:val="21"/>
                <w:szCs w:val="21"/>
                <w:lang w:eastAsia="zh-CN"/>
              </w:rPr>
              <w:t>分，所依赖的政策制度能持续运行，计</w:t>
            </w:r>
            <w:r>
              <w:rPr>
                <w:rFonts w:ascii="宋体" w:hAnsi="宋体" w:cs="宋体"/>
                <w:sz w:val="21"/>
                <w:szCs w:val="21"/>
                <w:lang w:eastAsia="zh-CN"/>
              </w:rPr>
              <w:t>2.5</w:t>
            </w:r>
            <w:r>
              <w:rPr>
                <w:rFonts w:hint="eastAsia" w:ascii="宋体" w:hAnsi="宋体" w:cs="宋体"/>
                <w:sz w:val="21"/>
                <w:szCs w:val="21"/>
                <w:lang w:eastAsia="zh-CN"/>
              </w:rPr>
              <w:t>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项目实施有保证、政策持续运行</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5</w:t>
            </w:r>
          </w:p>
        </w:tc>
      </w:tr>
      <w:tr>
        <w:tblPrEx>
          <w:tblLayout w:type="fixed"/>
          <w:tblCellMar>
            <w:top w:w="0" w:type="dxa"/>
            <w:left w:w="108" w:type="dxa"/>
            <w:bottom w:w="0" w:type="dxa"/>
            <w:right w:w="108" w:type="dxa"/>
          </w:tblCellMar>
        </w:tblPrEx>
        <w:trPr>
          <w:trHeight w:val="675" w:hRule="atLeast"/>
        </w:trPr>
        <w:tc>
          <w:tcPr>
            <w:tcW w:w="725"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417" w:type="dxa"/>
            <w:vMerge w:val="continue"/>
            <w:tcBorders>
              <w:top w:val="nil"/>
              <w:left w:val="single" w:color="auto" w:sz="4" w:space="0"/>
              <w:bottom w:val="single" w:color="auto" w:sz="4" w:space="0"/>
              <w:right w:val="single" w:color="auto" w:sz="4" w:space="0"/>
            </w:tcBorders>
            <w:vAlign w:val="center"/>
          </w:tcPr>
          <w:p>
            <w:pPr>
              <w:rPr>
                <w:rFonts w:ascii="宋体" w:cs="宋体"/>
                <w:sz w:val="21"/>
                <w:szCs w:val="21"/>
                <w:lang w:eastAsia="zh-CN"/>
              </w:rPr>
            </w:pPr>
          </w:p>
        </w:tc>
        <w:tc>
          <w:tcPr>
            <w:tcW w:w="843"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服务对象满意程度</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5</w:t>
            </w:r>
          </w:p>
        </w:tc>
        <w:tc>
          <w:tcPr>
            <w:tcW w:w="2724"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项目预期服务对象对项目实施的满意程度，通过现场调查问卷和考核情况进行综合打分，调查问卷</w:t>
            </w:r>
            <w:r>
              <w:rPr>
                <w:rFonts w:ascii="宋体" w:hAnsi="宋体" w:cs="宋体"/>
                <w:sz w:val="21"/>
                <w:szCs w:val="21"/>
                <w:lang w:eastAsia="zh-CN"/>
              </w:rPr>
              <w:t>2.5</w:t>
            </w:r>
            <w:r>
              <w:rPr>
                <w:rFonts w:hint="eastAsia" w:ascii="宋体" w:hAnsi="宋体" w:cs="宋体"/>
                <w:sz w:val="21"/>
                <w:szCs w:val="21"/>
                <w:lang w:eastAsia="zh-CN"/>
              </w:rPr>
              <w:t>分，考核得分</w:t>
            </w:r>
            <w:r>
              <w:rPr>
                <w:rFonts w:ascii="宋体" w:hAnsi="宋体" w:cs="宋体"/>
                <w:sz w:val="21"/>
                <w:szCs w:val="21"/>
                <w:lang w:eastAsia="zh-CN"/>
              </w:rPr>
              <w:t>2.5</w:t>
            </w:r>
            <w:r>
              <w:rPr>
                <w:rFonts w:hint="eastAsia" w:ascii="宋体" w:hAnsi="宋体" w:cs="宋体"/>
                <w:sz w:val="21"/>
                <w:szCs w:val="21"/>
                <w:lang w:eastAsia="zh-CN"/>
              </w:rPr>
              <w:t>分</w:t>
            </w:r>
          </w:p>
        </w:tc>
        <w:tc>
          <w:tcPr>
            <w:tcW w:w="3240" w:type="dxa"/>
            <w:tcBorders>
              <w:top w:val="nil"/>
              <w:left w:val="nil"/>
              <w:bottom w:val="single" w:color="auto" w:sz="4" w:space="0"/>
              <w:right w:val="single" w:color="auto" w:sz="4" w:space="0"/>
            </w:tcBorders>
            <w:vAlign w:val="center"/>
          </w:tcPr>
          <w:p>
            <w:pPr>
              <w:rPr>
                <w:rFonts w:ascii="宋体" w:cs="宋体"/>
                <w:sz w:val="21"/>
                <w:szCs w:val="21"/>
                <w:lang w:eastAsia="zh-CN"/>
              </w:rPr>
            </w:pPr>
            <w:r>
              <w:rPr>
                <w:rFonts w:hint="eastAsia" w:ascii="宋体" w:hAnsi="宋体" w:cs="宋体"/>
                <w:sz w:val="21"/>
                <w:szCs w:val="21"/>
                <w:lang w:eastAsia="zh-CN"/>
              </w:rPr>
              <w:t>详见评分明细表，及调查问卷反馈</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cs="宋体"/>
                <w:sz w:val="21"/>
                <w:szCs w:val="21"/>
                <w:lang w:eastAsia="zh-CN"/>
              </w:rPr>
              <w:t>5</w:t>
            </w:r>
          </w:p>
        </w:tc>
      </w:tr>
      <w:tr>
        <w:tblPrEx>
          <w:tblLayout w:type="fixed"/>
          <w:tblCellMar>
            <w:top w:w="0" w:type="dxa"/>
            <w:left w:w="108" w:type="dxa"/>
            <w:bottom w:w="0" w:type="dxa"/>
            <w:right w:w="108" w:type="dxa"/>
          </w:tblCellMar>
        </w:tblPrEx>
        <w:trPr>
          <w:trHeight w:val="450" w:hRule="atLeast"/>
        </w:trPr>
        <w:tc>
          <w:tcPr>
            <w:tcW w:w="19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lang w:eastAsia="zh-CN"/>
              </w:rPr>
            </w:pPr>
            <w:r>
              <w:rPr>
                <w:rFonts w:hint="eastAsia" w:ascii="宋体" w:hAnsi="宋体" w:cs="宋体"/>
                <w:sz w:val="21"/>
                <w:szCs w:val="21"/>
                <w:lang w:eastAsia="zh-CN"/>
              </w:rPr>
              <w:t>总分</w:t>
            </w:r>
          </w:p>
        </w:tc>
        <w:tc>
          <w:tcPr>
            <w:tcW w:w="516"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ascii="宋体" w:hAnsi="宋体" w:cs="宋体"/>
                <w:sz w:val="21"/>
                <w:szCs w:val="21"/>
                <w:lang w:eastAsia="zh-CN"/>
              </w:rPr>
              <w:t>100</w:t>
            </w:r>
          </w:p>
        </w:tc>
        <w:tc>
          <w:tcPr>
            <w:tcW w:w="2724" w:type="dxa"/>
            <w:tcBorders>
              <w:top w:val="nil"/>
              <w:left w:val="nil"/>
              <w:bottom w:val="single" w:color="auto" w:sz="4" w:space="0"/>
              <w:right w:val="single" w:color="auto" w:sz="4" w:space="0"/>
            </w:tcBorders>
            <w:vAlign w:val="bottom"/>
          </w:tcPr>
          <w:p>
            <w:pPr>
              <w:rPr>
                <w:rFonts w:ascii="宋体" w:cs="宋体"/>
                <w:color w:val="000000"/>
                <w:sz w:val="21"/>
                <w:szCs w:val="21"/>
                <w:lang w:eastAsia="zh-CN"/>
              </w:rPr>
            </w:pPr>
            <w:r>
              <w:rPr>
                <w:rFonts w:hint="eastAsia" w:ascii="宋体" w:hAnsi="宋体" w:cs="宋体"/>
                <w:color w:val="000000"/>
                <w:sz w:val="21"/>
                <w:szCs w:val="21"/>
                <w:lang w:eastAsia="zh-CN"/>
              </w:rPr>
              <w:t>　</w:t>
            </w:r>
          </w:p>
        </w:tc>
        <w:tc>
          <w:tcPr>
            <w:tcW w:w="3240" w:type="dxa"/>
            <w:tcBorders>
              <w:top w:val="nil"/>
              <w:left w:val="nil"/>
              <w:bottom w:val="single" w:color="auto" w:sz="4" w:space="0"/>
              <w:right w:val="single" w:color="auto" w:sz="4" w:space="0"/>
            </w:tcBorders>
            <w:vAlign w:val="bottom"/>
          </w:tcPr>
          <w:p>
            <w:pPr>
              <w:jc w:val="center"/>
              <w:rPr>
                <w:rFonts w:ascii="宋体" w:cs="宋体"/>
                <w:color w:val="000000"/>
                <w:sz w:val="21"/>
                <w:szCs w:val="21"/>
                <w:lang w:eastAsia="zh-CN"/>
              </w:rPr>
            </w:pPr>
            <w:r>
              <w:rPr>
                <w:rFonts w:hint="eastAsia" w:ascii="宋体" w:hAnsi="宋体" w:cs="宋体"/>
                <w:color w:val="000000"/>
                <w:sz w:val="21"/>
                <w:szCs w:val="21"/>
                <w:lang w:eastAsia="zh-CN"/>
              </w:rPr>
              <w:t>　</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r>
      <w:tr>
        <w:tblPrEx>
          <w:tblLayout w:type="fixed"/>
          <w:tblCellMar>
            <w:top w:w="0" w:type="dxa"/>
            <w:left w:w="108" w:type="dxa"/>
            <w:bottom w:w="0" w:type="dxa"/>
            <w:right w:w="108" w:type="dxa"/>
          </w:tblCellMar>
        </w:tblPrEx>
        <w:trPr>
          <w:trHeight w:val="690" w:hRule="atLeast"/>
        </w:trPr>
        <w:tc>
          <w:tcPr>
            <w:tcW w:w="725" w:type="dxa"/>
            <w:tcBorders>
              <w:top w:val="nil"/>
              <w:left w:val="single" w:color="auto" w:sz="4" w:space="0"/>
              <w:bottom w:val="single" w:color="auto" w:sz="4" w:space="0"/>
              <w:right w:val="single" w:color="auto" w:sz="4" w:space="0"/>
            </w:tcBorders>
            <w:vAlign w:val="center"/>
          </w:tcPr>
          <w:p>
            <w:pPr>
              <w:jc w:val="center"/>
              <w:rPr>
                <w:rFonts w:ascii="宋体" w:cs="宋体"/>
                <w:sz w:val="21"/>
                <w:szCs w:val="21"/>
                <w:lang w:eastAsia="zh-CN"/>
              </w:rPr>
            </w:pPr>
            <w:r>
              <w:rPr>
                <w:rFonts w:hint="eastAsia" w:ascii="宋体" w:hAnsi="宋体" w:cs="宋体"/>
                <w:sz w:val="21"/>
                <w:szCs w:val="21"/>
                <w:lang w:eastAsia="zh-CN"/>
              </w:rPr>
              <w:t>评价等次</w:t>
            </w:r>
          </w:p>
        </w:tc>
        <w:tc>
          <w:tcPr>
            <w:tcW w:w="450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hAnsi="宋体" w:cs="宋体"/>
                <w:sz w:val="21"/>
                <w:szCs w:val="21"/>
                <w:lang w:eastAsia="zh-CN"/>
              </w:rPr>
              <w:t>□优（</w:t>
            </w:r>
            <w:r>
              <w:rPr>
                <w:rFonts w:ascii="宋体" w:hAnsi="宋体" w:cs="宋体"/>
                <w:sz w:val="21"/>
                <w:szCs w:val="21"/>
                <w:lang w:eastAsia="zh-CN"/>
              </w:rPr>
              <w:t>90</w:t>
            </w:r>
            <w:r>
              <w:rPr>
                <w:rFonts w:hint="eastAsia" w:ascii="宋体" w:hAnsi="宋体" w:cs="宋体"/>
                <w:sz w:val="21"/>
                <w:szCs w:val="21"/>
                <w:lang w:eastAsia="zh-CN"/>
              </w:rPr>
              <w:t>分以上）</w:t>
            </w:r>
            <w:r>
              <w:rPr>
                <w:rFonts w:ascii="宋体" w:hAnsi="宋体" w:cs="宋体"/>
                <w:sz w:val="21"/>
                <w:szCs w:val="21"/>
                <w:lang w:eastAsia="zh-CN"/>
              </w:rPr>
              <w:t xml:space="preserve">  </w:t>
            </w:r>
            <w:r>
              <w:rPr>
                <w:rFonts w:hint="eastAsia" w:ascii="宋体" w:hAnsi="宋体" w:cs="宋体"/>
                <w:sz w:val="21"/>
                <w:szCs w:val="21"/>
                <w:lang w:eastAsia="zh-CN"/>
              </w:rPr>
              <w:t>□良（</w:t>
            </w:r>
            <w:r>
              <w:rPr>
                <w:rFonts w:ascii="宋体" w:hAnsi="宋体" w:cs="宋体"/>
                <w:sz w:val="21"/>
                <w:szCs w:val="21"/>
                <w:lang w:eastAsia="zh-CN"/>
              </w:rPr>
              <w:t>80</w:t>
            </w:r>
            <w:r>
              <w:rPr>
                <w:rFonts w:hint="eastAsia" w:ascii="宋体" w:hAnsi="宋体" w:cs="宋体"/>
                <w:sz w:val="21"/>
                <w:szCs w:val="21"/>
                <w:lang w:eastAsia="zh-CN"/>
              </w:rPr>
              <w:t>分</w:t>
            </w:r>
            <w:r>
              <w:rPr>
                <w:rFonts w:ascii="宋体" w:hAnsi="宋体" w:cs="宋体"/>
                <w:sz w:val="21"/>
                <w:szCs w:val="21"/>
                <w:lang w:eastAsia="zh-CN"/>
              </w:rPr>
              <w:t>-90</w:t>
            </w:r>
            <w:r>
              <w:rPr>
                <w:rFonts w:hint="eastAsia" w:ascii="宋体" w:hAnsi="宋体" w:cs="宋体"/>
                <w:sz w:val="21"/>
                <w:szCs w:val="21"/>
                <w:lang w:eastAsia="zh-CN"/>
              </w:rPr>
              <w:t>分）</w:t>
            </w:r>
            <w:r>
              <w:rPr>
                <w:rFonts w:ascii="宋体" w:hAnsi="宋体" w:cs="宋体"/>
                <w:sz w:val="21"/>
                <w:szCs w:val="21"/>
                <w:lang w:eastAsia="zh-CN"/>
              </w:rPr>
              <w:t xml:space="preserve">  </w:t>
            </w:r>
            <w:r>
              <w:rPr>
                <w:rFonts w:hint="eastAsia" w:ascii="宋体" w:hAnsi="宋体" w:cs="宋体"/>
                <w:sz w:val="21"/>
                <w:szCs w:val="21"/>
                <w:lang w:eastAsia="zh-CN"/>
              </w:rPr>
              <w:t>□中（</w:t>
            </w:r>
            <w:r>
              <w:rPr>
                <w:rFonts w:ascii="宋体" w:hAnsi="宋体" w:cs="宋体"/>
                <w:sz w:val="21"/>
                <w:szCs w:val="21"/>
                <w:lang w:eastAsia="zh-CN"/>
              </w:rPr>
              <w:t>70</w:t>
            </w:r>
            <w:r>
              <w:rPr>
                <w:rFonts w:hint="eastAsia" w:ascii="宋体" w:hAnsi="宋体" w:cs="宋体"/>
                <w:sz w:val="21"/>
                <w:szCs w:val="21"/>
                <w:lang w:eastAsia="zh-CN"/>
              </w:rPr>
              <w:t>分</w:t>
            </w:r>
            <w:r>
              <w:rPr>
                <w:rFonts w:ascii="宋体" w:hAnsi="宋体" w:cs="宋体"/>
                <w:sz w:val="21"/>
                <w:szCs w:val="21"/>
                <w:lang w:eastAsia="zh-CN"/>
              </w:rPr>
              <w:t>-80</w:t>
            </w:r>
            <w:r>
              <w:rPr>
                <w:rFonts w:hint="eastAsia" w:ascii="宋体" w:hAnsi="宋体" w:cs="宋体"/>
                <w:sz w:val="21"/>
                <w:szCs w:val="21"/>
                <w:lang w:eastAsia="zh-CN"/>
              </w:rPr>
              <w:t>分）</w:t>
            </w:r>
            <w:r>
              <w:rPr>
                <w:rFonts w:ascii="宋体" w:cs="宋体"/>
                <w:sz w:val="21"/>
                <w:szCs w:val="21"/>
                <w:lang w:eastAsia="zh-CN"/>
              </w:rPr>
              <w:br w:type="textWrapping"/>
            </w:r>
            <w:r>
              <w:rPr>
                <w:rFonts w:hint="eastAsia" w:ascii="宋体" w:hAnsi="宋体" w:cs="宋体"/>
                <w:sz w:val="21"/>
                <w:szCs w:val="21"/>
                <w:lang w:eastAsia="zh-CN"/>
              </w:rPr>
              <w:t>■低（</w:t>
            </w:r>
            <w:r>
              <w:rPr>
                <w:rFonts w:ascii="宋体" w:hAnsi="宋体" w:cs="宋体"/>
                <w:sz w:val="21"/>
                <w:szCs w:val="21"/>
                <w:lang w:eastAsia="zh-CN"/>
              </w:rPr>
              <w:t>60</w:t>
            </w:r>
            <w:r>
              <w:rPr>
                <w:rFonts w:hint="eastAsia" w:ascii="宋体" w:hAnsi="宋体" w:cs="宋体"/>
                <w:sz w:val="21"/>
                <w:szCs w:val="21"/>
                <w:lang w:eastAsia="zh-CN"/>
              </w:rPr>
              <w:t>分</w:t>
            </w:r>
            <w:r>
              <w:rPr>
                <w:rFonts w:ascii="宋体" w:hAnsi="宋体" w:cs="宋体"/>
                <w:sz w:val="21"/>
                <w:szCs w:val="21"/>
                <w:lang w:eastAsia="zh-CN"/>
              </w:rPr>
              <w:t>-70</w:t>
            </w:r>
            <w:r>
              <w:rPr>
                <w:rFonts w:hint="eastAsia" w:ascii="宋体" w:hAnsi="宋体" w:cs="宋体"/>
                <w:sz w:val="21"/>
                <w:szCs w:val="21"/>
                <w:lang w:eastAsia="zh-CN"/>
              </w:rPr>
              <w:t>分）</w:t>
            </w:r>
            <w:r>
              <w:rPr>
                <w:rFonts w:ascii="宋体" w:hAnsi="宋体" w:cs="宋体"/>
                <w:sz w:val="21"/>
                <w:szCs w:val="21"/>
                <w:lang w:eastAsia="zh-CN"/>
              </w:rPr>
              <w:t xml:space="preserve">  </w:t>
            </w:r>
            <w:r>
              <w:rPr>
                <w:rFonts w:hint="eastAsia" w:ascii="宋体" w:hAnsi="宋体" w:cs="宋体"/>
                <w:sz w:val="21"/>
                <w:szCs w:val="21"/>
                <w:lang w:eastAsia="zh-CN"/>
              </w:rPr>
              <w:t>□差（</w:t>
            </w:r>
            <w:r>
              <w:rPr>
                <w:rFonts w:ascii="宋体" w:hAnsi="宋体" w:cs="宋体"/>
                <w:sz w:val="21"/>
                <w:szCs w:val="21"/>
                <w:lang w:eastAsia="zh-CN"/>
              </w:rPr>
              <w:t>60</w:t>
            </w:r>
            <w:r>
              <w:rPr>
                <w:rFonts w:hint="eastAsia" w:ascii="宋体" w:hAnsi="宋体" w:cs="宋体"/>
                <w:sz w:val="21"/>
                <w:szCs w:val="21"/>
                <w:lang w:eastAsia="zh-CN"/>
              </w:rPr>
              <w:t>分以下）</w:t>
            </w:r>
          </w:p>
        </w:tc>
        <w:tc>
          <w:tcPr>
            <w:tcW w:w="3240"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r>
              <w:rPr>
                <w:rFonts w:hint="eastAsia" w:ascii="宋体" w:hAnsi="宋体" w:cs="宋体"/>
                <w:sz w:val="21"/>
                <w:szCs w:val="21"/>
                <w:lang w:eastAsia="zh-CN"/>
              </w:rPr>
              <w:t>　</w:t>
            </w:r>
          </w:p>
        </w:tc>
        <w:tc>
          <w:tcPr>
            <w:tcW w:w="67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c>
          <w:tcPr>
            <w:tcW w:w="637" w:type="dxa"/>
            <w:tcBorders>
              <w:top w:val="nil"/>
              <w:left w:val="nil"/>
              <w:bottom w:val="single" w:color="auto" w:sz="4" w:space="0"/>
              <w:right w:val="single" w:color="auto" w:sz="4" w:space="0"/>
            </w:tcBorders>
            <w:vAlign w:val="center"/>
          </w:tcPr>
          <w:p>
            <w:pPr>
              <w:jc w:val="center"/>
              <w:rPr>
                <w:rFonts w:ascii="宋体" w:cs="宋体"/>
                <w:sz w:val="21"/>
                <w:szCs w:val="21"/>
                <w:lang w:eastAsia="zh-CN"/>
              </w:rPr>
            </w:pPr>
          </w:p>
        </w:tc>
      </w:tr>
    </w:tbl>
    <w:p>
      <w:pPr>
        <w:autoSpaceDE w:val="0"/>
        <w:autoSpaceDN w:val="0"/>
        <w:adjustRightInd w:val="0"/>
        <w:spacing w:line="360" w:lineRule="auto"/>
        <w:jc w:val="both"/>
        <w:rPr>
          <w:rFonts w:ascii="仿宋_GB2312" w:hAnsi="Times New Roman" w:eastAsia="仿宋_GB2312" w:cs="Times New Roman"/>
          <w:sz w:val="21"/>
          <w:szCs w:val="21"/>
          <w:lang w:eastAsia="zh-CN"/>
        </w:rPr>
      </w:pPr>
    </w:p>
    <w:p>
      <w:pPr>
        <w:autoSpaceDE w:val="0"/>
        <w:autoSpaceDN w:val="0"/>
        <w:adjustRightInd w:val="0"/>
        <w:spacing w:line="360" w:lineRule="auto"/>
        <w:jc w:val="both"/>
        <w:rPr>
          <w:rFonts w:ascii="仿宋_GB2312" w:hAnsi="Times New Roman" w:eastAsia="仿宋_GB2312" w:cs="Times New Roman"/>
          <w:sz w:val="21"/>
          <w:szCs w:val="21"/>
          <w:lang w:eastAsia="zh-CN"/>
        </w:rPr>
      </w:pPr>
    </w:p>
    <w:sectPr>
      <w:headerReference r:id="rId3" w:type="first"/>
      <w:footerReference r:id="rId5" w:type="first"/>
      <w:footerReference r:id="rId4" w:type="default"/>
      <w:pgSz w:w="11906" w:h="16838"/>
      <w:pgMar w:top="1440" w:right="1466"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幼圆">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方正小标宋_GBK">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Style w:val="31"/>
                            </w:rPr>
                          </w:pPr>
                          <w:r>
                            <w:fldChar w:fldCharType="begin"/>
                          </w:r>
                          <w:r>
                            <w:rPr>
                              <w:rStyle w:val="31"/>
                              <w:rFonts w:cs="Calibri"/>
                            </w:rPr>
                            <w:instrText xml:space="preserve">PAGE  </w:instrText>
                          </w:r>
                          <w:r>
                            <w:fldChar w:fldCharType="separate"/>
                          </w:r>
                          <w:r>
                            <w:rPr>
                              <w:rStyle w:val="31"/>
                              <w:rFonts w:cs="Calibri"/>
                            </w:rPr>
                            <w:t>5</w:t>
                          </w:r>
                          <w: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9XmQa0BAABK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Z/n7vQh1pj0FDAtDbd+yJmjP6Izix4U2PxFOQTj&#10;2OfDubdySETkR8vFcllhSGBsuiAOe3keIKaP0luSjYYCDq/0lO8fYjqlTim5mvP32hj089q4Nw7E&#10;zB6WuZ84ZisNm2EkvvHtAfX0OPeGOlxMSswnh23NKzIZMBmbydgF0NsOqc0LrxhudglJFG65wgl2&#10;LIwDK+rG5cob8fpesl5+gf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DvV5kGtAQAASgMA&#10;AA4AAAAAAAAAAQAgAAAAHgEAAGRycy9lMm9Eb2MueG1sUEsFBgAAAAAGAAYAWQEAAD0FAAAAAA==&#10;">
              <v:fill on="f" focussize="0,0"/>
              <v:stroke on="f"/>
              <v:imagedata o:title=""/>
              <o:lock v:ext="edit" aspectratio="f"/>
              <v:textbox inset="0mm,0mm,0mm,0mm" style="mso-fit-shape-to-text:t;">
                <w:txbxContent>
                  <w:p>
                    <w:pPr>
                      <w:pStyle w:val="20"/>
                      <w:rPr>
                        <w:rStyle w:val="31"/>
                      </w:rPr>
                    </w:pPr>
                    <w:r>
                      <w:fldChar w:fldCharType="begin"/>
                    </w:r>
                    <w:r>
                      <w:rPr>
                        <w:rStyle w:val="31"/>
                        <w:rFonts w:cs="Calibri"/>
                      </w:rPr>
                      <w:instrText xml:space="preserve">PAGE  </w:instrText>
                    </w:r>
                    <w:r>
                      <w:fldChar w:fldCharType="separate"/>
                    </w:r>
                    <w:r>
                      <w:rPr>
                        <w:rStyle w:val="31"/>
                        <w:rFonts w:cs="Calibri"/>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XUKq0BAABK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1uduzOE2GDSY8C0NN74Eac8+SM6s+hRgc1flEMw&#10;jn3en3srx0REfrSoF4sKQwJj0wXx2dvzADF9kt6SbLQUcHilp3x3H9MxdUrJ1Zy/08aUARr3mwMx&#10;s4dl7keO2UrjejwJWvtuj3oGnHtLHS4mJeazw7bmFZkMmIz1ZGwD6E2P1OaFVwzX24QkCrdc4Qh7&#10;KowDK+pOy5U34v29ZL39Aq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PqV1CqtAQAASgMA&#10;AA4AAAAAAAAAAQAgAAAAHgEAAGRycy9lMm9Eb2MueG1sUEsFBgAAAAAGAAYAWQEAAD0FA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pStyle w:val="2"/>
      <w:lvlText w:val="%1. "/>
      <w:lvlJc w:val="left"/>
      <w:rPr>
        <w:rFonts w:cs="Times New Roman"/>
        <w:sz w:val="32"/>
        <w:szCs w:val="32"/>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1">
    <w:nsid w:val="00000012"/>
    <w:multiLevelType w:val="singleLevel"/>
    <w:tmpl w:val="00000012"/>
    <w:lvl w:ilvl="0" w:tentative="0">
      <w:start w:val="1"/>
      <w:numFmt w:val="upperLetter"/>
      <w:pStyle w:val="23"/>
      <w:lvlText w:val="%1)"/>
      <w:lvlJc w:val="left"/>
      <w:pPr>
        <w:tabs>
          <w:tab w:val="left" w:pos="270"/>
        </w:tabs>
        <w:ind w:left="270" w:hanging="27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FC"/>
    <w:rsid w:val="000216FC"/>
    <w:rsid w:val="00053CBA"/>
    <w:rsid w:val="00366DAC"/>
    <w:rsid w:val="00422D56"/>
    <w:rsid w:val="00A30CB6"/>
    <w:rsid w:val="00A3379F"/>
    <w:rsid w:val="00C71327"/>
    <w:rsid w:val="3DFF66FD"/>
    <w:rsid w:val="4ECF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nhideWhenUsed="0" w:uiPriority="99" w:semiHidden="0" w:name="Body Text 2"/>
    <w:lsdException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unhideWhenUsed="0" w:uiPriority="99" w:semiHidden="0" w:name="Plain Text"/>
    <w:lsdException w:unhideWhenUsed="0" w:uiPriority="99" w:semiHidden="0" w:name="E-mail Signature"/>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Calibri"/>
      <w:sz w:val="24"/>
      <w:szCs w:val="24"/>
      <w:lang w:val="en-US" w:eastAsia="en-US" w:bidi="ar-SA"/>
    </w:rPr>
  </w:style>
  <w:style w:type="paragraph" w:styleId="2">
    <w:name w:val="heading 1"/>
    <w:basedOn w:val="1"/>
    <w:next w:val="1"/>
    <w:link w:val="41"/>
    <w:qFormat/>
    <w:uiPriority w:val="99"/>
    <w:pPr>
      <w:keepNext/>
      <w:widowControl w:val="0"/>
      <w:numPr>
        <w:ilvl w:val="0"/>
        <w:numId w:val="1"/>
      </w:numPr>
      <w:tabs>
        <w:tab w:val="left" w:pos="270"/>
      </w:tabs>
      <w:jc w:val="both"/>
      <w:outlineLvl w:val="0"/>
    </w:pPr>
    <w:rPr>
      <w:rFonts w:ascii="Times New Roman" w:hAnsi="Times New Roman" w:cs="Times New Roman"/>
      <w:b/>
      <w:bCs/>
      <w:kern w:val="2"/>
      <w:sz w:val="21"/>
      <w:szCs w:val="21"/>
      <w:lang w:eastAsia="zh-CN"/>
    </w:rPr>
  </w:style>
  <w:style w:type="paragraph" w:styleId="3">
    <w:name w:val="heading 2"/>
    <w:basedOn w:val="1"/>
    <w:next w:val="1"/>
    <w:link w:val="42"/>
    <w:qFormat/>
    <w:uiPriority w:val="99"/>
    <w:pPr>
      <w:keepNext/>
      <w:widowControl w:val="0"/>
      <w:jc w:val="center"/>
      <w:outlineLvl w:val="1"/>
    </w:pPr>
    <w:rPr>
      <w:rFonts w:ascii="Times New Roman" w:hAnsi="Times New Roman" w:cs="Times New Roman"/>
      <w:kern w:val="2"/>
      <w:sz w:val="28"/>
      <w:szCs w:val="28"/>
      <w:lang w:eastAsia="zh-CN"/>
    </w:rPr>
  </w:style>
  <w:style w:type="paragraph" w:styleId="4">
    <w:name w:val="heading 3"/>
    <w:basedOn w:val="1"/>
    <w:next w:val="1"/>
    <w:link w:val="43"/>
    <w:qFormat/>
    <w:uiPriority w:val="99"/>
    <w:pPr>
      <w:keepNext/>
      <w:keepLines/>
      <w:widowControl w:val="0"/>
      <w:spacing w:before="260" w:after="260" w:line="410"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44"/>
    <w:qFormat/>
    <w:uiPriority w:val="99"/>
    <w:pPr>
      <w:keepNext/>
      <w:keepLines/>
      <w:widowControl w:val="0"/>
      <w:spacing w:before="280" w:after="290" w:line="372" w:lineRule="auto"/>
      <w:jc w:val="both"/>
      <w:outlineLvl w:val="3"/>
    </w:pPr>
    <w:rPr>
      <w:rFonts w:ascii="Arial" w:hAnsi="Arial" w:eastAsia="黑体" w:cs="Arial"/>
      <w:b/>
      <w:bCs/>
      <w:kern w:val="2"/>
      <w:sz w:val="28"/>
      <w:szCs w:val="28"/>
      <w:lang w:eastAsia="zh-CN"/>
    </w:rPr>
  </w:style>
  <w:style w:type="paragraph" w:styleId="6">
    <w:name w:val="heading 7"/>
    <w:basedOn w:val="1"/>
    <w:next w:val="1"/>
    <w:link w:val="45"/>
    <w:qFormat/>
    <w:uiPriority w:val="99"/>
    <w:pPr>
      <w:keepNext/>
      <w:keepLines/>
      <w:widowControl w:val="0"/>
      <w:adjustRightInd w:val="0"/>
      <w:spacing w:before="240" w:after="64" w:line="320" w:lineRule="atLeast"/>
      <w:jc w:val="both"/>
      <w:outlineLvl w:val="6"/>
    </w:pPr>
    <w:rPr>
      <w:rFonts w:ascii="宋体" w:hAnsi="Times New Roman" w:eastAsia="仿宋_GB2312" w:cs="宋体"/>
      <w:b/>
      <w:bCs/>
      <w:lang w:eastAsia="zh-CN"/>
    </w:rPr>
  </w:style>
  <w:style w:type="paragraph" w:styleId="7">
    <w:name w:val="heading 8"/>
    <w:basedOn w:val="1"/>
    <w:next w:val="1"/>
    <w:link w:val="46"/>
    <w:qFormat/>
    <w:uiPriority w:val="99"/>
    <w:pPr>
      <w:keepNext/>
      <w:keepLines/>
      <w:widowControl w:val="0"/>
      <w:adjustRightInd w:val="0"/>
      <w:spacing w:before="240" w:after="64" w:line="320" w:lineRule="atLeast"/>
      <w:jc w:val="both"/>
      <w:outlineLvl w:val="7"/>
    </w:pPr>
    <w:rPr>
      <w:rFonts w:ascii="Arial" w:hAnsi="Arial" w:eastAsia="黑体" w:cs="Arial"/>
      <w:lang w:eastAsia="zh-CN"/>
    </w:rPr>
  </w:style>
  <w:style w:type="paragraph" w:styleId="8">
    <w:name w:val="heading 9"/>
    <w:basedOn w:val="1"/>
    <w:next w:val="1"/>
    <w:link w:val="47"/>
    <w:qFormat/>
    <w:uiPriority w:val="99"/>
    <w:pPr>
      <w:keepNext/>
      <w:keepLines/>
      <w:widowControl w:val="0"/>
      <w:adjustRightInd w:val="0"/>
      <w:spacing w:before="240" w:after="64" w:line="320" w:lineRule="atLeast"/>
      <w:jc w:val="both"/>
      <w:outlineLvl w:val="8"/>
    </w:pPr>
    <w:rPr>
      <w:rFonts w:ascii="Arial" w:hAnsi="Arial" w:eastAsia="黑体" w:cs="Arial"/>
      <w:sz w:val="28"/>
      <w:szCs w:val="28"/>
      <w:lang w:eastAsia="zh-CN"/>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9">
    <w:name w:val="E-mail Signature"/>
    <w:basedOn w:val="1"/>
    <w:link w:val="48"/>
    <w:uiPriority w:val="99"/>
    <w:pPr>
      <w:jc w:val="both"/>
    </w:pPr>
    <w:rPr>
      <w:rFonts w:ascii="Times New Roman" w:hAnsi="Times New Roman" w:cs="Times New Roman"/>
      <w:sz w:val="21"/>
      <w:szCs w:val="21"/>
      <w:lang w:eastAsia="zh-CN"/>
    </w:rPr>
  </w:style>
  <w:style w:type="paragraph" w:styleId="10">
    <w:name w:val="Normal Indent"/>
    <w:basedOn w:val="1"/>
    <w:qFormat/>
    <w:uiPriority w:val="99"/>
    <w:pPr>
      <w:widowControl w:val="0"/>
      <w:spacing w:line="360" w:lineRule="auto"/>
      <w:ind w:firstLine="200" w:firstLineChars="200"/>
      <w:jc w:val="both"/>
    </w:pPr>
    <w:rPr>
      <w:rFonts w:ascii="Times New Roman" w:hAnsi="Times New Roman" w:eastAsia="仿宋_GB2312" w:cs="Times New Roman"/>
      <w:kern w:val="2"/>
      <w:lang w:eastAsia="zh-CN"/>
    </w:rPr>
  </w:style>
  <w:style w:type="paragraph" w:styleId="11">
    <w:name w:val="annotation text"/>
    <w:basedOn w:val="1"/>
    <w:link w:val="49"/>
    <w:semiHidden/>
    <w:qFormat/>
    <w:uiPriority w:val="99"/>
    <w:pPr>
      <w:widowControl w:val="0"/>
    </w:pPr>
    <w:rPr>
      <w:rFonts w:ascii="Times New Roman" w:hAnsi="Times New Roman" w:cs="Times New Roman"/>
      <w:kern w:val="2"/>
      <w:sz w:val="21"/>
      <w:szCs w:val="21"/>
      <w:lang w:eastAsia="zh-CN"/>
    </w:rPr>
  </w:style>
  <w:style w:type="paragraph" w:styleId="12">
    <w:name w:val="Body Text 3"/>
    <w:basedOn w:val="1"/>
    <w:link w:val="50"/>
    <w:uiPriority w:val="99"/>
    <w:pPr>
      <w:widowControl w:val="0"/>
      <w:jc w:val="both"/>
    </w:pPr>
    <w:rPr>
      <w:rFonts w:ascii="幼圆" w:hAnsi="Times New Roman" w:cs="幼圆"/>
      <w:kern w:val="2"/>
      <w:lang w:eastAsia="zh-CN"/>
    </w:rPr>
  </w:style>
  <w:style w:type="paragraph" w:styleId="13">
    <w:name w:val="Body Text"/>
    <w:basedOn w:val="1"/>
    <w:link w:val="51"/>
    <w:qFormat/>
    <w:uiPriority w:val="99"/>
    <w:pPr>
      <w:widowControl w:val="0"/>
      <w:spacing w:line="300" w:lineRule="auto"/>
      <w:ind w:right="206"/>
      <w:jc w:val="both"/>
    </w:pPr>
    <w:rPr>
      <w:rFonts w:ascii="Times New Roman" w:hAnsi="Times New Roman" w:cs="Times New Roman"/>
      <w:kern w:val="2"/>
      <w:sz w:val="18"/>
      <w:szCs w:val="18"/>
      <w:lang w:eastAsia="zh-CN"/>
    </w:rPr>
  </w:style>
  <w:style w:type="paragraph" w:styleId="14">
    <w:name w:val="Body Text Indent"/>
    <w:basedOn w:val="1"/>
    <w:link w:val="52"/>
    <w:uiPriority w:val="99"/>
    <w:pPr>
      <w:widowControl w:val="0"/>
      <w:ind w:firstLine="420"/>
      <w:jc w:val="both"/>
    </w:pPr>
    <w:rPr>
      <w:rFonts w:ascii="楷体_GB2312" w:hAnsi="Times New Roman" w:eastAsia="楷体_GB2312" w:cs="楷体_GB2312"/>
      <w:kern w:val="2"/>
      <w:sz w:val="21"/>
      <w:szCs w:val="21"/>
      <w:lang w:eastAsia="zh-CN"/>
    </w:rPr>
  </w:style>
  <w:style w:type="paragraph" w:styleId="15">
    <w:name w:val="toc 3"/>
    <w:basedOn w:val="1"/>
    <w:next w:val="1"/>
    <w:semiHidden/>
    <w:uiPriority w:val="99"/>
    <w:pPr>
      <w:widowControl w:val="0"/>
      <w:ind w:left="400" w:leftChars="400"/>
      <w:jc w:val="both"/>
    </w:pPr>
    <w:rPr>
      <w:rFonts w:ascii="Times New Roman" w:hAnsi="Times New Roman" w:cs="Times New Roman"/>
      <w:kern w:val="2"/>
      <w:sz w:val="21"/>
      <w:szCs w:val="21"/>
      <w:lang w:eastAsia="zh-CN"/>
    </w:rPr>
  </w:style>
  <w:style w:type="paragraph" w:styleId="16">
    <w:name w:val="Plain Text"/>
    <w:basedOn w:val="1"/>
    <w:link w:val="53"/>
    <w:uiPriority w:val="99"/>
    <w:pPr>
      <w:widowControl w:val="0"/>
      <w:jc w:val="both"/>
    </w:pPr>
    <w:rPr>
      <w:rFonts w:ascii="宋体" w:hAnsi="Courier New" w:cs="宋体"/>
      <w:kern w:val="2"/>
      <w:sz w:val="21"/>
      <w:szCs w:val="21"/>
      <w:lang w:eastAsia="zh-CN"/>
    </w:rPr>
  </w:style>
  <w:style w:type="paragraph" w:styleId="17">
    <w:name w:val="Date"/>
    <w:basedOn w:val="1"/>
    <w:next w:val="1"/>
    <w:link w:val="54"/>
    <w:uiPriority w:val="99"/>
    <w:pPr>
      <w:widowControl w:val="0"/>
      <w:jc w:val="both"/>
    </w:pPr>
    <w:rPr>
      <w:rFonts w:ascii="Times New Roman" w:hAnsi="Times New Roman" w:cs="Times New Roman"/>
      <w:kern w:val="2"/>
      <w:sz w:val="21"/>
      <w:szCs w:val="21"/>
      <w:lang w:eastAsia="zh-CN"/>
    </w:rPr>
  </w:style>
  <w:style w:type="paragraph" w:styleId="18">
    <w:name w:val="Body Text Indent 2"/>
    <w:basedOn w:val="1"/>
    <w:link w:val="55"/>
    <w:qFormat/>
    <w:uiPriority w:val="99"/>
    <w:pPr>
      <w:widowControl w:val="0"/>
      <w:spacing w:line="300" w:lineRule="auto"/>
      <w:ind w:firstLine="420" w:firstLineChars="200"/>
      <w:jc w:val="both"/>
    </w:pPr>
    <w:rPr>
      <w:rFonts w:ascii="Times New Roman" w:hAnsi="Times New Roman" w:eastAsia="楷体_GB2312" w:cs="Times New Roman"/>
      <w:color w:val="000000"/>
      <w:kern w:val="2"/>
      <w:sz w:val="21"/>
      <w:szCs w:val="21"/>
      <w:lang w:eastAsia="zh-CN"/>
    </w:rPr>
  </w:style>
  <w:style w:type="paragraph" w:styleId="19">
    <w:name w:val="Balloon Text"/>
    <w:basedOn w:val="1"/>
    <w:link w:val="56"/>
    <w:semiHidden/>
    <w:qFormat/>
    <w:uiPriority w:val="99"/>
    <w:pPr>
      <w:widowControl w:val="0"/>
      <w:jc w:val="both"/>
    </w:pPr>
    <w:rPr>
      <w:rFonts w:ascii="Times New Roman" w:hAnsi="Times New Roman" w:cs="Times New Roman"/>
      <w:kern w:val="2"/>
      <w:sz w:val="18"/>
      <w:szCs w:val="18"/>
      <w:lang w:eastAsia="zh-CN"/>
    </w:rPr>
  </w:style>
  <w:style w:type="paragraph" w:styleId="20">
    <w:name w:val="footer"/>
    <w:basedOn w:val="1"/>
    <w:link w:val="57"/>
    <w:qFormat/>
    <w:uiPriority w:val="99"/>
    <w:pPr>
      <w:tabs>
        <w:tab w:val="center" w:pos="4153"/>
        <w:tab w:val="right" w:pos="8306"/>
      </w:tabs>
      <w:snapToGrid w:val="0"/>
    </w:pPr>
    <w:rPr>
      <w:sz w:val="18"/>
      <w:szCs w:val="18"/>
    </w:rPr>
  </w:style>
  <w:style w:type="paragraph" w:styleId="21">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widowControl w:val="0"/>
      <w:jc w:val="both"/>
    </w:pPr>
    <w:rPr>
      <w:rFonts w:ascii="Times New Roman" w:hAnsi="Times New Roman" w:cs="Times New Roman"/>
      <w:kern w:val="2"/>
      <w:sz w:val="21"/>
      <w:szCs w:val="21"/>
      <w:lang w:eastAsia="zh-CN"/>
    </w:rPr>
  </w:style>
  <w:style w:type="paragraph" w:styleId="23">
    <w:name w:val="Subtitle"/>
    <w:basedOn w:val="1"/>
    <w:link w:val="59"/>
    <w:qFormat/>
    <w:uiPriority w:val="99"/>
    <w:pPr>
      <w:widowControl w:val="0"/>
      <w:numPr>
        <w:ilvl w:val="0"/>
        <w:numId w:val="2"/>
      </w:numPr>
      <w:tabs>
        <w:tab w:val="left" w:pos="180"/>
      </w:tabs>
      <w:jc w:val="both"/>
    </w:pPr>
    <w:rPr>
      <w:rFonts w:ascii="Times New Roman" w:hAnsi="Times New Roman" w:cs="Times New Roman"/>
      <w:b/>
      <w:bCs/>
      <w:kern w:val="2"/>
      <w:sz w:val="21"/>
      <w:szCs w:val="21"/>
      <w:lang w:eastAsia="zh-CN"/>
    </w:rPr>
  </w:style>
  <w:style w:type="paragraph" w:styleId="24">
    <w:name w:val="Body Text Indent 3"/>
    <w:basedOn w:val="1"/>
    <w:link w:val="60"/>
    <w:qFormat/>
    <w:uiPriority w:val="99"/>
    <w:pPr>
      <w:widowControl w:val="0"/>
      <w:spacing w:line="360" w:lineRule="exact"/>
      <w:ind w:firstLine="525"/>
      <w:jc w:val="both"/>
    </w:pPr>
    <w:rPr>
      <w:rFonts w:ascii="Times New Roman" w:hAnsi="Times New Roman" w:cs="Times New Roman"/>
      <w:kern w:val="2"/>
      <w:lang w:eastAsia="zh-CN"/>
    </w:rPr>
  </w:style>
  <w:style w:type="paragraph" w:styleId="25">
    <w:name w:val="toc 2"/>
    <w:basedOn w:val="1"/>
    <w:next w:val="1"/>
    <w:semiHidden/>
    <w:qFormat/>
    <w:uiPriority w:val="99"/>
    <w:pPr>
      <w:widowControl w:val="0"/>
      <w:ind w:left="200" w:leftChars="200"/>
      <w:jc w:val="both"/>
    </w:pPr>
    <w:rPr>
      <w:rFonts w:ascii="Times New Roman" w:hAnsi="Times New Roman" w:cs="Times New Roman"/>
      <w:kern w:val="2"/>
      <w:sz w:val="21"/>
      <w:szCs w:val="21"/>
      <w:lang w:eastAsia="zh-CN"/>
    </w:rPr>
  </w:style>
  <w:style w:type="paragraph" w:styleId="26">
    <w:name w:val="Body Text 2"/>
    <w:basedOn w:val="1"/>
    <w:link w:val="61"/>
    <w:uiPriority w:val="99"/>
    <w:pPr>
      <w:widowControl w:val="0"/>
      <w:jc w:val="both"/>
    </w:pPr>
    <w:rPr>
      <w:rFonts w:ascii="Times New Roman" w:hAnsi="Times New Roman" w:cs="Times New Roman"/>
      <w:color w:val="FF0000"/>
      <w:kern w:val="2"/>
      <w:sz w:val="21"/>
      <w:szCs w:val="21"/>
      <w:lang w:eastAsia="zh-CN"/>
    </w:rPr>
  </w:style>
  <w:style w:type="paragraph" w:styleId="27">
    <w:name w:val="Normal (Web)"/>
    <w:basedOn w:val="1"/>
    <w:qFormat/>
    <w:uiPriority w:val="99"/>
    <w:pPr>
      <w:spacing w:before="100" w:after="100"/>
    </w:pPr>
    <w:rPr>
      <w:rFonts w:ascii="宋体" w:hAnsi="宋体" w:cs="宋体"/>
      <w:color w:val="000000"/>
      <w:lang w:eastAsia="zh-CN"/>
    </w:r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uiPriority w:val="99"/>
    <w:rPr>
      <w:rFonts w:cs="Times New Roman"/>
      <w:color w:val="800080"/>
      <w:u w:val="single"/>
    </w:rPr>
  </w:style>
  <w:style w:type="character" w:styleId="33">
    <w:name w:val="Hyperlink"/>
    <w:basedOn w:val="29"/>
    <w:qFormat/>
    <w:uiPriority w:val="99"/>
    <w:rPr>
      <w:rFonts w:cs="Times New Roman"/>
      <w:color w:val="0000FF"/>
      <w:u w:val="single"/>
    </w:rPr>
  </w:style>
  <w:style w:type="paragraph" w:customStyle="1" w:styleId="34">
    <w:name w:val="Char Char Char Char Char Char1 Char Char Char Char Char Char Char Char Char Char Char Char Char"/>
    <w:basedOn w:val="1"/>
    <w:uiPriority w:val="99"/>
    <w:pPr>
      <w:spacing w:after="160" w:line="240" w:lineRule="exact"/>
    </w:pPr>
    <w:rPr>
      <w:rFonts w:ascii="Times New Roman" w:hAnsi="Times New Roman" w:cs="Times New Roman"/>
      <w:kern w:val="2"/>
      <w:sz w:val="21"/>
      <w:szCs w:val="21"/>
      <w:lang w:eastAsia="zh-CN"/>
    </w:rPr>
  </w:style>
  <w:style w:type="paragraph" w:customStyle="1" w:styleId="35">
    <w:name w:val="样式"/>
    <w:basedOn w:val="1"/>
    <w:next w:val="14"/>
    <w:qFormat/>
    <w:uiPriority w:val="99"/>
    <w:pPr>
      <w:widowControl w:val="0"/>
      <w:ind w:firstLine="480"/>
      <w:jc w:val="both"/>
    </w:pPr>
    <w:rPr>
      <w:rFonts w:ascii="宋体" w:hAnsi="宋体" w:cs="宋体"/>
      <w:kern w:val="2"/>
      <w:lang w:eastAsia="zh-CN"/>
    </w:rPr>
  </w:style>
  <w:style w:type="paragraph" w:customStyle="1" w:styleId="36">
    <w:name w:val="Char Char Char Char Char Char"/>
    <w:basedOn w:val="1"/>
    <w:qFormat/>
    <w:uiPriority w:val="99"/>
    <w:pPr>
      <w:widowControl w:val="0"/>
      <w:adjustRightInd w:val="0"/>
      <w:jc w:val="both"/>
    </w:pPr>
    <w:rPr>
      <w:rFonts w:ascii="Times New Roman" w:hAnsi="Times New Roman" w:cs="Times New Roman"/>
      <w:kern w:val="2"/>
      <w:sz w:val="21"/>
      <w:szCs w:val="21"/>
      <w:lang w:eastAsia="zh-CN"/>
    </w:rPr>
  </w:style>
  <w:style w:type="paragraph" w:customStyle="1" w:styleId="37">
    <w:name w:val="Char Char Char1 Char Char Char Char"/>
    <w:basedOn w:val="1"/>
    <w:qFormat/>
    <w:uiPriority w:val="99"/>
    <w:pPr>
      <w:widowControl w:val="0"/>
      <w:jc w:val="both"/>
    </w:pPr>
    <w:rPr>
      <w:rFonts w:ascii="仿宋_GB2312" w:hAnsi="Times New Roman" w:eastAsia="仿宋_GB2312" w:cs="仿宋_GB2312"/>
      <w:b/>
      <w:bCs/>
      <w:kern w:val="2"/>
      <w:sz w:val="32"/>
      <w:szCs w:val="32"/>
      <w:lang w:eastAsia="zh-CN"/>
    </w:rPr>
  </w:style>
  <w:style w:type="paragraph" w:customStyle="1" w:styleId="38">
    <w:name w:val="标准"/>
    <w:basedOn w:val="1"/>
    <w:qFormat/>
    <w:uiPriority w:val="99"/>
    <w:pPr>
      <w:widowControl w:val="0"/>
      <w:adjustRightInd w:val="0"/>
      <w:spacing w:before="120" w:after="120" w:line="312" w:lineRule="atLeast"/>
      <w:jc w:val="both"/>
    </w:pPr>
    <w:rPr>
      <w:rFonts w:ascii="宋体" w:hAnsi="Times New Roman" w:cs="宋体"/>
      <w:sz w:val="21"/>
      <w:szCs w:val="21"/>
      <w:lang w:eastAsia="zh-CN"/>
    </w:rPr>
  </w:style>
  <w:style w:type="paragraph" w:customStyle="1" w:styleId="39">
    <w:name w:val="xl28"/>
    <w:basedOn w:val="1"/>
    <w:qFormat/>
    <w:uiPriority w:val="99"/>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宋体"/>
      <w:lang w:eastAsia="zh-CN"/>
    </w:rPr>
  </w:style>
  <w:style w:type="paragraph" w:customStyle="1" w:styleId="40">
    <w:name w:val="List Paragraph1"/>
    <w:basedOn w:val="1"/>
    <w:qFormat/>
    <w:uiPriority w:val="99"/>
    <w:pPr>
      <w:ind w:firstLine="420" w:firstLineChars="200"/>
    </w:pPr>
  </w:style>
  <w:style w:type="character" w:customStyle="1" w:styleId="41">
    <w:name w:val="标题 1 Char"/>
    <w:basedOn w:val="29"/>
    <w:link w:val="2"/>
    <w:qFormat/>
    <w:uiPriority w:val="99"/>
    <w:rPr>
      <w:rFonts w:ascii="Times New Roman" w:hAnsi="Times New Roman" w:eastAsia="宋体" w:cs="Times New Roman"/>
      <w:b/>
      <w:bCs/>
      <w:sz w:val="20"/>
      <w:szCs w:val="20"/>
    </w:rPr>
  </w:style>
  <w:style w:type="character" w:customStyle="1" w:styleId="42">
    <w:name w:val="标题 2 Char"/>
    <w:basedOn w:val="29"/>
    <w:link w:val="3"/>
    <w:qFormat/>
    <w:uiPriority w:val="99"/>
    <w:rPr>
      <w:rFonts w:ascii="Times New Roman" w:hAnsi="Times New Roman" w:eastAsia="宋体" w:cs="Times New Roman"/>
      <w:sz w:val="20"/>
      <w:szCs w:val="20"/>
    </w:rPr>
  </w:style>
  <w:style w:type="character" w:customStyle="1" w:styleId="43">
    <w:name w:val="标题 3 Char"/>
    <w:basedOn w:val="29"/>
    <w:link w:val="4"/>
    <w:uiPriority w:val="99"/>
    <w:rPr>
      <w:rFonts w:ascii="Times New Roman" w:hAnsi="Times New Roman" w:eastAsia="宋体" w:cs="Times New Roman"/>
      <w:b/>
      <w:bCs/>
      <w:sz w:val="20"/>
      <w:szCs w:val="20"/>
    </w:rPr>
  </w:style>
  <w:style w:type="character" w:customStyle="1" w:styleId="44">
    <w:name w:val="标题 4 Char"/>
    <w:basedOn w:val="29"/>
    <w:link w:val="5"/>
    <w:uiPriority w:val="99"/>
    <w:rPr>
      <w:rFonts w:ascii="Arial" w:hAnsi="Arial" w:eastAsia="黑体" w:cs="Arial"/>
      <w:b/>
      <w:bCs/>
      <w:sz w:val="20"/>
      <w:szCs w:val="20"/>
    </w:rPr>
  </w:style>
  <w:style w:type="character" w:customStyle="1" w:styleId="45">
    <w:name w:val="标题 7 Char"/>
    <w:basedOn w:val="29"/>
    <w:link w:val="6"/>
    <w:uiPriority w:val="99"/>
    <w:rPr>
      <w:rFonts w:ascii="宋体" w:hAnsi="Times New Roman" w:eastAsia="仿宋_GB2312" w:cs="宋体"/>
      <w:b/>
      <w:bCs/>
      <w:kern w:val="0"/>
      <w:sz w:val="20"/>
      <w:szCs w:val="20"/>
    </w:rPr>
  </w:style>
  <w:style w:type="character" w:customStyle="1" w:styleId="46">
    <w:name w:val="标题 8 Char"/>
    <w:basedOn w:val="29"/>
    <w:link w:val="7"/>
    <w:uiPriority w:val="99"/>
    <w:rPr>
      <w:rFonts w:ascii="Arial" w:hAnsi="Arial" w:eastAsia="黑体" w:cs="Arial"/>
      <w:kern w:val="0"/>
      <w:sz w:val="20"/>
      <w:szCs w:val="20"/>
    </w:rPr>
  </w:style>
  <w:style w:type="character" w:customStyle="1" w:styleId="47">
    <w:name w:val="标题 9 Char"/>
    <w:basedOn w:val="29"/>
    <w:link w:val="8"/>
    <w:uiPriority w:val="99"/>
    <w:rPr>
      <w:rFonts w:ascii="Arial" w:hAnsi="Arial" w:eastAsia="黑体" w:cs="Arial"/>
      <w:kern w:val="0"/>
      <w:sz w:val="20"/>
      <w:szCs w:val="20"/>
    </w:rPr>
  </w:style>
  <w:style w:type="character" w:customStyle="1" w:styleId="48">
    <w:name w:val="电子邮件签名 Char"/>
    <w:basedOn w:val="29"/>
    <w:link w:val="9"/>
    <w:qFormat/>
    <w:uiPriority w:val="99"/>
    <w:rPr>
      <w:rFonts w:ascii="Times New Roman" w:hAnsi="Times New Roman" w:eastAsia="宋体" w:cs="Times New Roman"/>
      <w:kern w:val="0"/>
      <w:sz w:val="20"/>
      <w:szCs w:val="20"/>
    </w:rPr>
  </w:style>
  <w:style w:type="character" w:customStyle="1" w:styleId="49">
    <w:name w:val="批注文字 Char"/>
    <w:basedOn w:val="29"/>
    <w:link w:val="11"/>
    <w:uiPriority w:val="99"/>
    <w:rPr>
      <w:rFonts w:ascii="Times New Roman" w:hAnsi="Times New Roman" w:eastAsia="宋体" w:cs="Times New Roman"/>
      <w:sz w:val="20"/>
      <w:szCs w:val="20"/>
    </w:rPr>
  </w:style>
  <w:style w:type="character" w:customStyle="1" w:styleId="50">
    <w:name w:val="正文文本 3 Char"/>
    <w:basedOn w:val="29"/>
    <w:link w:val="12"/>
    <w:uiPriority w:val="99"/>
    <w:rPr>
      <w:rFonts w:ascii="幼圆" w:hAnsi="Times New Roman" w:eastAsia="宋体" w:cs="幼圆"/>
      <w:sz w:val="20"/>
      <w:szCs w:val="20"/>
    </w:rPr>
  </w:style>
  <w:style w:type="character" w:customStyle="1" w:styleId="51">
    <w:name w:val="正文文本 Char"/>
    <w:basedOn w:val="29"/>
    <w:link w:val="13"/>
    <w:uiPriority w:val="99"/>
    <w:rPr>
      <w:rFonts w:ascii="Times New Roman" w:hAnsi="Times New Roman" w:eastAsia="宋体" w:cs="Times New Roman"/>
      <w:sz w:val="20"/>
      <w:szCs w:val="20"/>
    </w:rPr>
  </w:style>
  <w:style w:type="character" w:customStyle="1" w:styleId="52">
    <w:name w:val="正文文本缩进 Char"/>
    <w:basedOn w:val="29"/>
    <w:link w:val="14"/>
    <w:uiPriority w:val="99"/>
    <w:rPr>
      <w:rFonts w:ascii="楷体_GB2312" w:hAnsi="Times New Roman" w:eastAsia="楷体_GB2312" w:cs="楷体_GB2312"/>
      <w:sz w:val="20"/>
      <w:szCs w:val="20"/>
    </w:rPr>
  </w:style>
  <w:style w:type="character" w:customStyle="1" w:styleId="53">
    <w:name w:val="纯文本 Char"/>
    <w:basedOn w:val="29"/>
    <w:link w:val="16"/>
    <w:uiPriority w:val="99"/>
    <w:rPr>
      <w:rFonts w:ascii="宋体" w:hAnsi="Courier New" w:eastAsia="宋体" w:cs="宋体"/>
      <w:sz w:val="20"/>
      <w:szCs w:val="20"/>
    </w:rPr>
  </w:style>
  <w:style w:type="character" w:customStyle="1" w:styleId="54">
    <w:name w:val="日期 Char"/>
    <w:basedOn w:val="29"/>
    <w:link w:val="17"/>
    <w:uiPriority w:val="99"/>
    <w:rPr>
      <w:rFonts w:ascii="Times New Roman" w:hAnsi="Times New Roman" w:eastAsia="宋体" w:cs="Times New Roman"/>
      <w:sz w:val="20"/>
      <w:szCs w:val="20"/>
    </w:rPr>
  </w:style>
  <w:style w:type="character" w:customStyle="1" w:styleId="55">
    <w:name w:val="正文文本缩进 2 Char"/>
    <w:basedOn w:val="29"/>
    <w:link w:val="18"/>
    <w:qFormat/>
    <w:uiPriority w:val="99"/>
    <w:rPr>
      <w:rFonts w:ascii="Times New Roman" w:hAnsi="Times New Roman" w:eastAsia="楷体_GB2312" w:cs="Times New Roman"/>
      <w:color w:val="000000"/>
      <w:sz w:val="20"/>
      <w:szCs w:val="20"/>
    </w:rPr>
  </w:style>
  <w:style w:type="character" w:customStyle="1" w:styleId="56">
    <w:name w:val="批注框文本 Char"/>
    <w:basedOn w:val="29"/>
    <w:link w:val="19"/>
    <w:qFormat/>
    <w:uiPriority w:val="99"/>
    <w:rPr>
      <w:rFonts w:ascii="Times New Roman" w:hAnsi="Times New Roman" w:eastAsia="宋体" w:cs="Times New Roman"/>
      <w:sz w:val="20"/>
      <w:szCs w:val="20"/>
    </w:rPr>
  </w:style>
  <w:style w:type="character" w:customStyle="1" w:styleId="57">
    <w:name w:val="页脚 Char"/>
    <w:basedOn w:val="29"/>
    <w:link w:val="20"/>
    <w:uiPriority w:val="99"/>
    <w:rPr>
      <w:rFonts w:cs="Times New Roman"/>
      <w:sz w:val="18"/>
      <w:szCs w:val="18"/>
    </w:rPr>
  </w:style>
  <w:style w:type="character" w:customStyle="1" w:styleId="58">
    <w:name w:val="页眉 Char"/>
    <w:basedOn w:val="29"/>
    <w:link w:val="21"/>
    <w:uiPriority w:val="99"/>
    <w:rPr>
      <w:rFonts w:cs="Times New Roman"/>
      <w:sz w:val="18"/>
      <w:szCs w:val="18"/>
    </w:rPr>
  </w:style>
  <w:style w:type="character" w:customStyle="1" w:styleId="59">
    <w:name w:val="副标题 Char"/>
    <w:basedOn w:val="29"/>
    <w:link w:val="23"/>
    <w:uiPriority w:val="99"/>
    <w:rPr>
      <w:rFonts w:ascii="Times New Roman" w:hAnsi="Times New Roman" w:eastAsia="宋体" w:cs="Times New Roman"/>
      <w:b/>
      <w:bCs/>
      <w:sz w:val="20"/>
      <w:szCs w:val="20"/>
    </w:rPr>
  </w:style>
  <w:style w:type="character" w:customStyle="1" w:styleId="60">
    <w:name w:val="正文文本缩进 3 Char"/>
    <w:basedOn w:val="29"/>
    <w:link w:val="24"/>
    <w:qFormat/>
    <w:uiPriority w:val="99"/>
    <w:rPr>
      <w:rFonts w:ascii="Times New Roman" w:hAnsi="Times New Roman" w:eastAsia="宋体" w:cs="Times New Roman"/>
      <w:sz w:val="20"/>
      <w:szCs w:val="20"/>
    </w:rPr>
  </w:style>
  <w:style w:type="character" w:customStyle="1" w:styleId="61">
    <w:name w:val="正文文本 2 Char"/>
    <w:basedOn w:val="29"/>
    <w:link w:val="26"/>
    <w:uiPriority w:val="99"/>
    <w:rPr>
      <w:rFonts w:ascii="Times New Roman" w:hAnsi="Times New Roman" w:eastAsia="宋体" w:cs="Times New Roman"/>
      <w:color w:val="FF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401</Words>
  <Characters>2287</Characters>
  <Lines>19</Lines>
  <Paragraphs>5</Paragraphs>
  <TotalTime>9</TotalTime>
  <ScaleCrop>false</ScaleCrop>
  <LinksUpToDate>false</LinksUpToDate>
  <CharactersWithSpaces>2683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2019-11-25T09:05:00Z</dcterms:created>
  <dc:creator>hejingya</dc:creator>
  <cp:lastModifiedBy>Lucy</cp:lastModifiedBy>
  <cp:lastPrinted>2016-01-13T06:49:00Z</cp:lastPrinted>
  <dcterms:modified xsi:type="dcterms:W3CDTF">2019-12-19T03:05:31Z</dcterms:modified>
  <dc:title>2014年衡东县基本公共卫生服务绩效评价报告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