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南岳区童心幼儿园</w:t>
      </w:r>
    </w:p>
    <w:p>
      <w:pPr>
        <w:widowControl/>
        <w:jc w:val="center"/>
        <w:rPr>
          <w:rFonts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2021年度部门整体支出绩效评价报告</w:t>
      </w:r>
    </w:p>
    <w:p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根据《中共中央国务院关于全面实施预算绩效管理的意见》的文件精神，我</w:t>
      </w:r>
      <w:r>
        <w:rPr>
          <w:rFonts w:hint="eastAsia" w:eastAsia="仿宋_GB2312"/>
          <w:sz w:val="32"/>
          <w:szCs w:val="32"/>
        </w:rPr>
        <w:t>校</w:t>
      </w:r>
      <w:r>
        <w:rPr>
          <w:rFonts w:eastAsia="仿宋_GB2312"/>
          <w:sz w:val="32"/>
          <w:szCs w:val="32"/>
        </w:rPr>
        <w:t>对部门整体支出进行了绩效评价，现报告如下：</w:t>
      </w:r>
    </w:p>
    <w:p>
      <w:pPr>
        <w:ind w:firstLine="640" w:firstLineChars="200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一、部门（单位）基本情况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napToGrid w:val="0"/>
          <w:kern w:val="0"/>
          <w:sz w:val="32"/>
          <w:szCs w:val="32"/>
        </w:rPr>
      </w:pPr>
      <w:r>
        <w:rPr>
          <w:rFonts w:eastAsia="楷体_GB2312"/>
          <w:b/>
          <w:snapToGrid w:val="0"/>
          <w:kern w:val="0"/>
          <w:sz w:val="32"/>
          <w:szCs w:val="32"/>
        </w:rPr>
        <w:t>（一）部门职能职责</w:t>
      </w:r>
    </w:p>
    <w:p>
      <w:pPr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（</w:t>
      </w:r>
      <w:r>
        <w:rPr>
          <w:rFonts w:ascii="仿宋_GB2312" w:hAnsi="Times New Roman" w:eastAsia="仿宋_GB2312" w:cs="Times New Roman"/>
          <w:sz w:val="30"/>
          <w:szCs w:val="30"/>
        </w:rPr>
        <w:t>1）贯彻落实国家教育工作的方针、政策、法规、规章，结合我园拟定具体实施办法和管理制度，并组织实施。</w:t>
      </w:r>
    </w:p>
    <w:p>
      <w:pPr>
        <w:pStyle w:val="4"/>
        <w:shd w:val="clear" w:color="auto" w:fill="FFFFFF"/>
        <w:spacing w:before="0" w:beforeAutospacing="0" w:after="120" w:afterAutospacing="0"/>
        <w:ind w:firstLine="48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ascii="仿宋_GB2312" w:hAnsi="Times New Roman" w:eastAsia="仿宋_GB2312" w:cs="Times New Roman"/>
          <w:kern w:val="2"/>
          <w:sz w:val="30"/>
          <w:szCs w:val="30"/>
        </w:rPr>
        <w:t>（2）研究拟定幼儿园教育改革与发展战略和教育事业发展规划、年度计划及教育发展的重点、速度和步骤，并协调实施。</w:t>
      </w:r>
    </w:p>
    <w:p>
      <w:pPr>
        <w:pStyle w:val="4"/>
        <w:shd w:val="clear" w:color="auto" w:fill="FFFFFF"/>
        <w:spacing w:before="0" w:beforeAutospacing="0" w:after="120" w:afterAutospacing="0"/>
        <w:ind w:firstLine="48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ascii="仿宋_GB2312" w:hAnsi="Times New Roman" w:eastAsia="仿宋_GB2312" w:cs="Times New Roman"/>
          <w:kern w:val="2"/>
          <w:sz w:val="30"/>
          <w:szCs w:val="30"/>
        </w:rPr>
        <w:t>（3）负责对幼儿园有关部门履行教育职责的督导工作；负责对幼儿园办学水平、质量监测工作。</w:t>
      </w:r>
    </w:p>
    <w:p>
      <w:pPr>
        <w:pStyle w:val="4"/>
        <w:shd w:val="clear" w:color="auto" w:fill="FFFFFF"/>
        <w:spacing w:before="0" w:beforeAutospacing="0" w:after="120" w:afterAutospacing="0"/>
        <w:ind w:firstLine="48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ascii="仿宋_GB2312" w:hAnsi="Times New Roman" w:eastAsia="仿宋_GB2312" w:cs="Times New Roman"/>
          <w:kern w:val="2"/>
          <w:sz w:val="30"/>
          <w:szCs w:val="30"/>
        </w:rPr>
        <w:t>（4）拟定教育体制及教育教学方法改革的实施办法，教育的发展与改革，组织实施教育教学改革的政策措施，提升学校办学水平和质量。</w:t>
      </w:r>
    </w:p>
    <w:p>
      <w:pPr>
        <w:pStyle w:val="4"/>
        <w:shd w:val="clear" w:color="auto" w:fill="FFFFFF"/>
        <w:spacing w:before="0" w:beforeAutospacing="0" w:after="120" w:afterAutospacing="0"/>
        <w:ind w:firstLine="48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ascii="仿宋_GB2312" w:hAnsi="Times New Roman" w:eastAsia="仿宋_GB2312" w:cs="Times New Roman"/>
          <w:kern w:val="2"/>
          <w:sz w:val="30"/>
          <w:szCs w:val="30"/>
        </w:rPr>
        <w:t>（5）负责幼儿园教育经费的统筹管理；负责教育经费的安排和预决算工作；对幼儿园的各类国有资产进行宏观管理。</w:t>
      </w:r>
    </w:p>
    <w:p>
      <w:pPr>
        <w:pStyle w:val="4"/>
        <w:shd w:val="clear" w:color="auto" w:fill="FFFFFF"/>
        <w:spacing w:before="0" w:beforeAutospacing="0" w:after="120" w:afterAutospacing="0"/>
        <w:ind w:firstLine="48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ascii="仿宋_GB2312" w:hAnsi="Times New Roman" w:eastAsia="仿宋_GB2312" w:cs="Times New Roman"/>
          <w:kern w:val="2"/>
          <w:sz w:val="30"/>
          <w:szCs w:val="30"/>
        </w:rPr>
        <w:t>（6）负责幼儿园建设、教育装备、幼儿园后勤和安全保卫工作。</w:t>
      </w:r>
    </w:p>
    <w:p>
      <w:pPr>
        <w:pStyle w:val="4"/>
        <w:shd w:val="clear" w:color="auto" w:fill="FFFFFF"/>
        <w:spacing w:before="0" w:beforeAutospacing="0" w:after="120" w:afterAutospacing="0"/>
        <w:ind w:firstLine="48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ascii="仿宋_GB2312" w:hAnsi="Times New Roman" w:eastAsia="仿宋_GB2312" w:cs="Times New Roman"/>
          <w:kern w:val="2"/>
          <w:sz w:val="30"/>
          <w:szCs w:val="30"/>
        </w:rPr>
        <w:t>（7）负责全面实施素质教育，规划并指导幼儿园的思想政治工作、教育工作、后勤保健与家园共育等工作。</w:t>
      </w:r>
    </w:p>
    <w:p>
      <w:pPr>
        <w:pStyle w:val="4"/>
        <w:shd w:val="clear" w:color="auto" w:fill="FFFFFF"/>
        <w:spacing w:before="0" w:beforeAutospacing="0" w:after="120" w:afterAutospacing="0"/>
        <w:ind w:firstLine="480"/>
        <w:rPr>
          <w:rFonts w:hint="eastAsia" w:ascii="仿宋_GB2312" w:hAnsi="Times New Roman" w:eastAsia="仿宋_GB2312" w:cs="Times New Roman"/>
          <w:kern w:val="2"/>
          <w:sz w:val="30"/>
          <w:szCs w:val="30"/>
        </w:rPr>
      </w:pPr>
      <w:r>
        <w:rPr>
          <w:rFonts w:ascii="仿宋_GB2312" w:hAnsi="Times New Roman" w:eastAsia="仿宋_GB2312" w:cs="Times New Roman"/>
          <w:kern w:val="2"/>
          <w:sz w:val="30"/>
          <w:szCs w:val="30"/>
        </w:rPr>
        <w:t>（8）完成区人民政府及上级教育行政部门交办的其他事项。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（二）机构设置情况</w:t>
      </w:r>
    </w:p>
    <w:p>
      <w:pPr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南岳区童心幼儿园是全额拨款的事业单位，根据编办核定，我园内设部门5个，分别是园长室、财务室、保健室、办公室、教研室</w:t>
      </w:r>
      <w:r>
        <w:rPr>
          <w:rFonts w:ascii="仿宋_GB2312" w:hAnsi="Times New Roman" w:eastAsia="仿宋_GB2312" w:cs="Times New Roman"/>
          <w:sz w:val="30"/>
          <w:szCs w:val="30"/>
        </w:rPr>
        <w:t>。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（三）人员编制情况</w:t>
      </w:r>
    </w:p>
    <w:p>
      <w:pPr>
        <w:ind w:firstLine="640" w:firstLineChars="200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2021年</w:t>
      </w:r>
      <w:r>
        <w:rPr>
          <w:rFonts w:eastAsia="仿宋_GB2312"/>
          <w:sz w:val="32"/>
          <w:szCs w:val="32"/>
        </w:rPr>
        <w:t>末，</w:t>
      </w:r>
      <w:r>
        <w:rPr>
          <w:rFonts w:hint="eastAsia" w:ascii="仿宋_GB2312" w:hAnsi="Times New Roman" w:eastAsia="仿宋_GB2312" w:cs="Times New Roman"/>
          <w:sz w:val="30"/>
          <w:szCs w:val="30"/>
        </w:rPr>
        <w:t>核定编制人数9人，其中：行政编制0人，全额事业编制0人，差额事业编制0人，自收自支事业编制0人，2021年末实际在岗在编人数9人，退休人员9人，临聘人员52人</w:t>
      </w:r>
      <w:r>
        <w:rPr>
          <w:rFonts w:eastAsia="仿宋_GB2312"/>
          <w:sz w:val="32"/>
          <w:szCs w:val="32"/>
        </w:rPr>
        <w:t>员</w:t>
      </w:r>
      <w:r>
        <w:rPr>
          <w:rFonts w:hint="eastAsia" w:eastAsia="仿宋_GB2312"/>
          <w:sz w:val="32"/>
          <w:szCs w:val="32"/>
        </w:rPr>
        <w:t>28</w:t>
      </w:r>
      <w:r>
        <w:rPr>
          <w:rFonts w:eastAsia="仿宋_GB2312"/>
          <w:sz w:val="32"/>
          <w:szCs w:val="32"/>
        </w:rPr>
        <w:t>人。</w:t>
      </w:r>
    </w:p>
    <w:p>
      <w:pPr>
        <w:widowControl/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一般公共预算支出情况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（一）基本支出情况</w:t>
      </w:r>
    </w:p>
    <w:p>
      <w:pPr>
        <w:tabs>
          <w:tab w:val="left" w:pos="2296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基本支出系保障我</w:t>
      </w:r>
      <w:r>
        <w:rPr>
          <w:rFonts w:hint="eastAsia" w:eastAsia="仿宋_GB2312"/>
          <w:sz w:val="32"/>
          <w:szCs w:val="32"/>
        </w:rPr>
        <w:t>校</w:t>
      </w:r>
      <w:r>
        <w:rPr>
          <w:rFonts w:eastAsia="仿宋_GB2312"/>
          <w:sz w:val="32"/>
          <w:szCs w:val="32"/>
        </w:rPr>
        <w:t>机构正常运转、完成日常工作任务而发生的各项支出，包括用于在职和离退休人员基本工资、津贴补贴等人员经费以及办公费、印刷费、水电费、办公设备购置等日常公用经费。</w:t>
      </w:r>
      <w:r>
        <w:rPr>
          <w:rFonts w:hint="eastAsia" w:eastAsia="仿宋_GB2312"/>
          <w:sz w:val="32"/>
          <w:szCs w:val="32"/>
        </w:rPr>
        <w:t>2021年</w:t>
      </w:r>
      <w:r>
        <w:rPr>
          <w:rFonts w:eastAsia="仿宋_GB2312"/>
          <w:sz w:val="32"/>
          <w:szCs w:val="32"/>
        </w:rPr>
        <w:t>基本支出</w:t>
      </w:r>
      <w:r>
        <w:rPr>
          <w:rFonts w:hint="eastAsia" w:eastAsia="仿宋_GB2312"/>
          <w:sz w:val="32"/>
          <w:szCs w:val="32"/>
        </w:rPr>
        <w:t>230.61</w:t>
      </w:r>
      <w:r>
        <w:rPr>
          <w:rFonts w:eastAsia="仿宋_GB2312"/>
          <w:sz w:val="32"/>
          <w:szCs w:val="32"/>
        </w:rPr>
        <w:t>万元，较上年</w:t>
      </w:r>
      <w:r>
        <w:rPr>
          <w:rFonts w:hint="eastAsia" w:eastAsia="仿宋_GB2312"/>
          <w:sz w:val="32"/>
          <w:szCs w:val="32"/>
        </w:rPr>
        <w:t>149.30万元增加81.31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/>
          <w:color w:val="000000"/>
          <w:sz w:val="32"/>
          <w:szCs w:val="32"/>
        </w:rPr>
        <w:t>基本支出中人员经费</w:t>
      </w:r>
      <w:r>
        <w:rPr>
          <w:rFonts w:hint="eastAsia" w:eastAsia="仿宋_GB2312"/>
          <w:color w:val="000000"/>
          <w:sz w:val="32"/>
          <w:szCs w:val="32"/>
        </w:rPr>
        <w:t>159.49</w:t>
      </w:r>
      <w:r>
        <w:rPr>
          <w:rFonts w:eastAsia="仿宋_GB2312"/>
          <w:color w:val="000000"/>
          <w:sz w:val="32"/>
          <w:szCs w:val="32"/>
        </w:rPr>
        <w:t>万元，占基本支出的</w:t>
      </w:r>
      <w:r>
        <w:rPr>
          <w:rFonts w:hint="eastAsia" w:eastAsia="仿宋_GB2312"/>
          <w:color w:val="000000"/>
          <w:sz w:val="32"/>
          <w:szCs w:val="32"/>
        </w:rPr>
        <w:t>69.16</w:t>
      </w:r>
      <w:r>
        <w:rPr>
          <w:rFonts w:eastAsia="仿宋_GB2312"/>
          <w:color w:val="000000"/>
          <w:sz w:val="32"/>
          <w:szCs w:val="32"/>
        </w:rPr>
        <w:t>%，</w:t>
      </w:r>
      <w:r>
        <w:rPr>
          <w:rFonts w:hint="eastAsia" w:eastAsia="仿宋_GB2312"/>
          <w:color w:val="000000"/>
          <w:sz w:val="32"/>
          <w:szCs w:val="32"/>
        </w:rPr>
        <w:t>与上年132.29万元相比增加27.2万元 主要原因是学校扩招教学经费增加；</w:t>
      </w:r>
      <w:r>
        <w:rPr>
          <w:rFonts w:eastAsia="仿宋_GB2312"/>
          <w:color w:val="000000"/>
          <w:sz w:val="32"/>
          <w:szCs w:val="32"/>
        </w:rPr>
        <w:t>日常公用经费</w:t>
      </w:r>
      <w:r>
        <w:rPr>
          <w:rFonts w:hint="eastAsia" w:eastAsia="仿宋_GB2312"/>
          <w:color w:val="000000"/>
          <w:sz w:val="32"/>
          <w:szCs w:val="32"/>
        </w:rPr>
        <w:t>71.13</w:t>
      </w:r>
      <w:r>
        <w:rPr>
          <w:rFonts w:eastAsia="仿宋_GB2312"/>
          <w:color w:val="000000"/>
          <w:sz w:val="32"/>
          <w:szCs w:val="32"/>
        </w:rPr>
        <w:t>万元，占基本支出的</w:t>
      </w:r>
      <w:r>
        <w:rPr>
          <w:rFonts w:hint="eastAsia" w:eastAsia="仿宋_GB2312"/>
          <w:color w:val="000000"/>
          <w:sz w:val="32"/>
          <w:szCs w:val="32"/>
        </w:rPr>
        <w:t>30.84</w:t>
      </w:r>
      <w:r>
        <w:rPr>
          <w:rFonts w:eastAsia="仿宋_GB2312"/>
          <w:color w:val="000000"/>
          <w:sz w:val="32"/>
          <w:szCs w:val="32"/>
        </w:rPr>
        <w:t>%，较上年</w:t>
      </w:r>
      <w:r>
        <w:rPr>
          <w:rFonts w:hint="eastAsia" w:eastAsia="仿宋_GB2312"/>
          <w:color w:val="000000"/>
          <w:sz w:val="32"/>
          <w:szCs w:val="32"/>
        </w:rPr>
        <w:t>17.01万元相比减少54.12增加318.17</w:t>
      </w:r>
      <w:r>
        <w:rPr>
          <w:rFonts w:eastAsia="仿宋_GB2312"/>
          <w:color w:val="000000"/>
          <w:sz w:val="32"/>
          <w:szCs w:val="32"/>
        </w:rPr>
        <w:t>%</w:t>
      </w:r>
      <w:r>
        <w:rPr>
          <w:rFonts w:hint="eastAsia" w:eastAsia="仿宋_GB2312"/>
          <w:color w:val="000000"/>
          <w:sz w:val="32"/>
          <w:szCs w:val="32"/>
        </w:rPr>
        <w:t>，主要原因是今年学校翻新换旧房屋大型维护维修等支出增加。</w:t>
      </w:r>
    </w:p>
    <w:p>
      <w:pPr>
        <w:widowControl/>
        <w:spacing w:line="600" w:lineRule="exact"/>
        <w:ind w:firstLine="643" w:firstLineChars="200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（二）</w:t>
      </w:r>
      <w:r>
        <w:rPr>
          <w:rFonts w:ascii="楷体_GB2312" w:hAnsi="Times New Roman" w:eastAsia="楷体_GB2312" w:cs="Times New Roman"/>
          <w:b/>
          <w:sz w:val="32"/>
          <w:szCs w:val="32"/>
        </w:rPr>
        <w:t>项目支出情况</w:t>
      </w:r>
    </w:p>
    <w:p>
      <w:pPr>
        <w:tabs>
          <w:tab w:val="left" w:pos="2296"/>
        </w:tabs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eastAsia="仿宋_GB2312"/>
          <w:sz w:val="32"/>
          <w:szCs w:val="32"/>
        </w:rPr>
        <w:t>项目支出系我</w:t>
      </w:r>
      <w:r>
        <w:rPr>
          <w:rFonts w:hint="eastAsia" w:eastAsia="仿宋_GB2312"/>
          <w:sz w:val="32"/>
          <w:szCs w:val="32"/>
        </w:rPr>
        <w:t>校</w:t>
      </w:r>
      <w:r>
        <w:rPr>
          <w:rFonts w:eastAsia="仿宋_GB2312"/>
          <w:sz w:val="32"/>
          <w:szCs w:val="32"/>
        </w:rPr>
        <w:t>为完成</w:t>
      </w:r>
      <w:r>
        <w:rPr>
          <w:rFonts w:hint="eastAsia" w:eastAsia="仿宋_GB2312"/>
          <w:sz w:val="32"/>
          <w:szCs w:val="32"/>
        </w:rPr>
        <w:t>教育教学管理</w:t>
      </w:r>
      <w:r>
        <w:rPr>
          <w:rFonts w:eastAsia="仿宋_GB2312"/>
          <w:sz w:val="32"/>
          <w:szCs w:val="32"/>
        </w:rPr>
        <w:t>工作而发生的支出，包括行业务工作经费和运行维护经费。业务工作经费支出主要用于</w:t>
      </w:r>
      <w:r>
        <w:rPr>
          <w:rFonts w:hint="eastAsia" w:eastAsia="仿宋_GB2312"/>
          <w:sz w:val="32"/>
          <w:szCs w:val="32"/>
        </w:rPr>
        <w:t>教育教学管理</w:t>
      </w:r>
      <w:r>
        <w:rPr>
          <w:rFonts w:eastAsia="仿宋_GB2312"/>
          <w:sz w:val="32"/>
          <w:szCs w:val="32"/>
        </w:rPr>
        <w:t>等方面。</w:t>
      </w:r>
      <w:r>
        <w:rPr>
          <w:rFonts w:hint="eastAsia" w:eastAsia="仿宋_GB2312"/>
          <w:sz w:val="32"/>
          <w:szCs w:val="32"/>
        </w:rPr>
        <w:t>2021年</w:t>
      </w:r>
      <w:r>
        <w:rPr>
          <w:rFonts w:eastAsia="仿宋_GB2312"/>
          <w:sz w:val="32"/>
          <w:szCs w:val="32"/>
        </w:rPr>
        <w:t>项目支出</w:t>
      </w:r>
      <w:r>
        <w:rPr>
          <w:rFonts w:hint="eastAsia" w:eastAsia="仿宋_GB2312"/>
          <w:sz w:val="32"/>
          <w:szCs w:val="32"/>
        </w:rPr>
        <w:t>6.0</w:t>
      </w:r>
      <w:r>
        <w:rPr>
          <w:rFonts w:eastAsia="仿宋_GB2312"/>
          <w:sz w:val="32"/>
          <w:szCs w:val="32"/>
        </w:rPr>
        <w:t>万元，比上年</w:t>
      </w:r>
      <w:r>
        <w:rPr>
          <w:rFonts w:hint="eastAsia" w:eastAsia="仿宋_GB2312"/>
          <w:sz w:val="32"/>
          <w:szCs w:val="32"/>
        </w:rPr>
        <w:t>43.39万元减少37.39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其中业务工作经费支出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万元，比上年</w:t>
      </w:r>
      <w:r>
        <w:rPr>
          <w:rFonts w:hint="eastAsia" w:eastAsia="仿宋_GB2312"/>
          <w:sz w:val="32"/>
          <w:szCs w:val="32"/>
        </w:rPr>
        <w:t>减少0</w:t>
      </w:r>
      <w:r>
        <w:rPr>
          <w:rFonts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</w:rPr>
        <w:t>压缩一般性支出</w:t>
      </w:r>
      <w:r>
        <w:rPr>
          <w:rFonts w:eastAsia="仿宋_GB2312"/>
          <w:sz w:val="32"/>
          <w:szCs w:val="32"/>
        </w:rPr>
        <w:t>；运行维护经费支出</w:t>
      </w:r>
      <w:r>
        <w:rPr>
          <w:rFonts w:hint="eastAsia" w:eastAsia="仿宋_GB2312"/>
          <w:sz w:val="32"/>
          <w:szCs w:val="32"/>
        </w:rPr>
        <w:t>6.0</w:t>
      </w:r>
      <w:r>
        <w:rPr>
          <w:rFonts w:eastAsia="仿宋_GB2312"/>
          <w:sz w:val="32"/>
          <w:szCs w:val="32"/>
        </w:rPr>
        <w:t>万元，比上年</w:t>
      </w:r>
      <w:r>
        <w:rPr>
          <w:rFonts w:hint="eastAsia" w:eastAsia="仿宋_GB2312"/>
          <w:sz w:val="32"/>
          <w:szCs w:val="32"/>
        </w:rPr>
        <w:t>减少37.39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减少72.34</w:t>
      </w:r>
      <w:r>
        <w:rPr>
          <w:rFonts w:eastAsia="仿宋_GB2312"/>
          <w:sz w:val="32"/>
          <w:szCs w:val="32"/>
        </w:rPr>
        <w:t>%，主要是</w:t>
      </w:r>
      <w:r>
        <w:rPr>
          <w:rFonts w:hint="eastAsia" w:eastAsia="仿宋_GB2312"/>
          <w:sz w:val="32"/>
          <w:szCs w:val="32"/>
        </w:rPr>
        <w:t>由于校园维修维护支出。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</w:t>
      </w:r>
      <w:r>
        <w:rPr>
          <w:rFonts w:ascii="Times New Roman" w:hAnsi="Times New Roman" w:eastAsia="黑体" w:cs="Times New Roman"/>
          <w:sz w:val="32"/>
          <w:szCs w:val="32"/>
          <w:highlight w:val="yellow"/>
        </w:rPr>
        <w:t>部门整体支出绩效情况</w:t>
      </w:r>
    </w:p>
    <w:p>
      <w:pPr>
        <w:tabs>
          <w:tab w:val="left" w:pos="2296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作为财务人员能在工作中坚持原则,秉公办事,以新《会计法》为依据,遵守财经纪律,认真履行会计岗位职责,为领导把好第一关，发现问题及时向领导汇报,认真做好财务基础工作。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</w:t>
      </w:r>
      <w:r>
        <w:rPr>
          <w:rFonts w:ascii="Times New Roman" w:hAnsi="Times New Roman" w:eastAsia="黑体" w:cs="Times New Roman"/>
          <w:sz w:val="32"/>
          <w:szCs w:val="32"/>
        </w:rPr>
        <w:t>存在的问题及原因分析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通过前述对我</w:t>
      </w:r>
      <w:r>
        <w:rPr>
          <w:rFonts w:hint="eastAsia" w:eastAsia="仿宋_GB2312"/>
          <w:sz w:val="32"/>
          <w:szCs w:val="32"/>
        </w:rPr>
        <w:t>校</w:t>
      </w:r>
      <w:r>
        <w:rPr>
          <w:rFonts w:eastAsia="仿宋_GB2312"/>
          <w:sz w:val="32"/>
          <w:szCs w:val="32"/>
        </w:rPr>
        <w:t>整体支出情况的分析，反映出目前整体支出主要在预算执行方面还存在一些问题和不足：</w:t>
      </w:r>
      <w:bookmarkStart w:id="0" w:name="_GoBack"/>
      <w:bookmarkEnd w:id="0"/>
    </w:p>
    <w:p>
      <w:pPr>
        <w:spacing w:line="600" w:lineRule="exact"/>
        <w:ind w:firstLine="643" w:firstLineChars="200"/>
        <w:rPr>
          <w:rFonts w:ascii="Calibri" w:hAnsi="Calibri" w:eastAsia="楷体_GB2312" w:cs="Times New Roman"/>
          <w:b/>
          <w:sz w:val="32"/>
          <w:szCs w:val="32"/>
        </w:rPr>
      </w:pPr>
      <w:r>
        <w:rPr>
          <w:rFonts w:hint="eastAsia" w:ascii="Calibri" w:hAnsi="Calibri" w:eastAsia="楷体_GB2312" w:cs="Times New Roman"/>
          <w:b/>
          <w:sz w:val="32"/>
          <w:szCs w:val="32"/>
        </w:rPr>
        <w:t>（一）部分项目完成度有待提升。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由于疫情冲击影响的客观因素，以及牢固树立过紧日子思想，主动压缩非重点、刚性支出的主观因素，导致部分预算项目如培训费预算执行情况不理想，其中培训费实际支付进度为0% 。我们将在</w:t>
      </w:r>
      <w:r>
        <w:rPr>
          <w:rFonts w:eastAsia="仿宋_GB2312"/>
          <w:sz w:val="32"/>
          <w:szCs w:val="32"/>
        </w:rPr>
        <w:t>下年加以重视，</w:t>
      </w:r>
      <w:r>
        <w:rPr>
          <w:rFonts w:hint="eastAsia" w:eastAsia="仿宋_GB2312"/>
          <w:sz w:val="32"/>
          <w:szCs w:val="32"/>
        </w:rPr>
        <w:t>提前谋划，科学编制项目预算，进一步提高预算编制的精确性。</w:t>
      </w:r>
    </w:p>
    <w:p>
      <w:pPr>
        <w:spacing w:line="600" w:lineRule="exact"/>
        <w:ind w:firstLine="643" w:firstLineChars="200"/>
        <w:rPr>
          <w:rFonts w:ascii="Calibri" w:hAnsi="Calibri" w:eastAsia="楷体_GB2312" w:cs="Times New Roman"/>
          <w:b/>
          <w:sz w:val="32"/>
          <w:szCs w:val="32"/>
        </w:rPr>
      </w:pPr>
      <w:r>
        <w:rPr>
          <w:rFonts w:hint="eastAsia" w:ascii="Calibri" w:hAnsi="Calibri" w:eastAsia="楷体_GB2312" w:cs="Times New Roman"/>
          <w:b/>
          <w:sz w:val="32"/>
          <w:szCs w:val="32"/>
        </w:rPr>
        <w:t>（二）部分项目实施与预算执行存在脱节。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受疫情影响，部分项目启动较晚，实施周期相对较长，导致项目验收晚，预算执行进度偏慢，相对比较集中。我们将在下年予以重视，督促项目实施单位早启动、早实施、早验收，对符合条件的项目按照项目进度支付相关款项。</w:t>
      </w:r>
    </w:p>
    <w:p>
      <w:pPr>
        <w:widowControl/>
        <w:numPr>
          <w:ilvl w:val="0"/>
          <w:numId w:val="2"/>
        </w:numPr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下一步改进措施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针对上述存在的问题，拟采取以下改进措施：</w:t>
      </w:r>
    </w:p>
    <w:p>
      <w:pPr>
        <w:widowControl/>
        <w:spacing w:line="600" w:lineRule="exact"/>
        <w:ind w:firstLine="64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强化预算管理，定期开展预算执行分析。</w:t>
      </w:r>
      <w:r>
        <w:rPr>
          <w:rFonts w:hint="eastAsia" w:eastAsia="仿宋_GB2312"/>
          <w:sz w:val="32"/>
          <w:szCs w:val="32"/>
        </w:rPr>
        <w:t>通过定期对项目实施和预算执行情况进行梳理，及时掌握项目进度，督促项目实施单位早启动、早实施、早验收，对符合条件的项目按照项目进度支付相关款项，将预算资金管理贯穿于项目实施全过程中。对未启动项目及时分析原因，根据资金使用情况调整下年预算安排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9CCF1"/>
    <w:multiLevelType w:val="singleLevel"/>
    <w:tmpl w:val="F639CC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2A871F"/>
    <w:multiLevelType w:val="singleLevel"/>
    <w:tmpl w:val="692A871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8E06247"/>
    <w:rsid w:val="00036394"/>
    <w:rsid w:val="00335BC2"/>
    <w:rsid w:val="00337589"/>
    <w:rsid w:val="003A648F"/>
    <w:rsid w:val="00485D18"/>
    <w:rsid w:val="006F2D9D"/>
    <w:rsid w:val="00881676"/>
    <w:rsid w:val="00AF6933"/>
    <w:rsid w:val="00E359B8"/>
    <w:rsid w:val="00F25B7E"/>
    <w:rsid w:val="00F26FD0"/>
    <w:rsid w:val="00F77387"/>
    <w:rsid w:val="03736933"/>
    <w:rsid w:val="149B2A0B"/>
    <w:rsid w:val="20E67351"/>
    <w:rsid w:val="21206552"/>
    <w:rsid w:val="28606852"/>
    <w:rsid w:val="29EF7861"/>
    <w:rsid w:val="30BE2A8F"/>
    <w:rsid w:val="429F3322"/>
    <w:rsid w:val="43102595"/>
    <w:rsid w:val="4A1504A0"/>
    <w:rsid w:val="52C14B04"/>
    <w:rsid w:val="55A02E49"/>
    <w:rsid w:val="58E06247"/>
    <w:rsid w:val="638233C3"/>
    <w:rsid w:val="64A2122F"/>
    <w:rsid w:val="6713109A"/>
    <w:rsid w:val="67B42849"/>
    <w:rsid w:val="71BD756A"/>
    <w:rsid w:val="751B6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样式3"/>
    <w:basedOn w:val="1"/>
    <w:qFormat/>
    <w:uiPriority w:val="0"/>
    <w:rPr>
      <w:rFonts w:ascii="Times New Roman" w:hAnsi="Times New Roman" w:eastAsia="仿宋_GB2312" w:cs="Times New Roman"/>
      <w:spacing w:val="113"/>
      <w:sz w:val="32"/>
    </w:rPr>
  </w:style>
  <w:style w:type="paragraph" w:customStyle="1" w:styleId="8">
    <w:name w:val="样式4"/>
    <w:basedOn w:val="1"/>
    <w:qFormat/>
    <w:uiPriority w:val="0"/>
    <w:rPr>
      <w:rFonts w:ascii="Times New Roman" w:hAnsi="Times New Roman" w:eastAsia="仿宋_GB2312" w:cs="Times New Roman"/>
      <w:snapToGrid w:val="0"/>
      <w:spacing w:val="79"/>
      <w:sz w:val="32"/>
    </w:rPr>
  </w:style>
  <w:style w:type="paragraph" w:customStyle="1" w:styleId="9">
    <w:name w:val="样式6"/>
    <w:basedOn w:val="1"/>
    <w:qFormat/>
    <w:uiPriority w:val="0"/>
    <w:rPr>
      <w:rFonts w:ascii="Times New Roman" w:hAnsi="Times New Roman" w:eastAsia="仿宋_GB2312" w:cs="Times New Roman"/>
      <w:spacing w:val="57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245</Words>
  <Characters>1401</Characters>
  <Lines>11</Lines>
  <Paragraphs>3</Paragraphs>
  <TotalTime>23</TotalTime>
  <ScaleCrop>false</ScaleCrop>
  <LinksUpToDate>false</LinksUpToDate>
  <CharactersWithSpaces>1643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2020-10-27T13:06:00Z</dcterms:created>
  <dc:creator>Administrator</dc:creator>
  <cp:lastModifiedBy>小王子妈妈</cp:lastModifiedBy>
  <cp:lastPrinted>2021-12-03T03:27:00Z</cp:lastPrinted>
  <dcterms:modified xsi:type="dcterms:W3CDTF">2022-02-14T01:39:15Z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D27373B351B04E62B1AC2AFD34C9AEF2</vt:lpwstr>
  </property>
</Properties>
</file>