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5E" w:rsidRDefault="009A745E" w:rsidP="002B58F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南岳区社会治理和网格信息化服务中心</w:t>
      </w:r>
      <w:r w:rsidR="002247AD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 w:rsidR="002247AD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</w:t>
      </w:r>
    </w:p>
    <w:p w:rsidR="009A4142" w:rsidRDefault="002247AD" w:rsidP="002B58FA">
      <w:pPr>
        <w:widowControl/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部门整体支出绩效评价报告</w:t>
      </w:r>
    </w:p>
    <w:p w:rsidR="009A4142" w:rsidRDefault="002247AD" w:rsidP="008D2395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proofErr w:type="gramStart"/>
      <w:r w:rsidR="00222CD1">
        <w:rPr>
          <w:rFonts w:eastAsia="仿宋_GB2312" w:hint="eastAsia"/>
          <w:sz w:val="32"/>
          <w:szCs w:val="32"/>
        </w:rPr>
        <w:t>岳</w:t>
      </w:r>
      <w:proofErr w:type="gramEnd"/>
      <w:r w:rsidR="00222CD1">
        <w:rPr>
          <w:rFonts w:eastAsia="仿宋_GB2312" w:hint="eastAsia"/>
          <w:sz w:val="32"/>
          <w:szCs w:val="32"/>
        </w:rPr>
        <w:t>财字</w:t>
      </w:r>
      <w:r w:rsidR="00222CD1">
        <w:rPr>
          <w:rFonts w:eastAsia="仿宋_GB2312" w:hint="eastAsia"/>
          <w:sz w:val="32"/>
          <w:szCs w:val="32"/>
        </w:rPr>
        <w:t>[2022]55</w:t>
      </w:r>
      <w:r w:rsidR="00222CD1"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《</w:t>
      </w:r>
      <w:r w:rsidR="00222CD1">
        <w:rPr>
          <w:rFonts w:eastAsia="仿宋_GB2312" w:hint="eastAsia"/>
          <w:sz w:val="32"/>
          <w:szCs w:val="32"/>
        </w:rPr>
        <w:t>关于对</w:t>
      </w:r>
      <w:r w:rsidR="00222CD1">
        <w:rPr>
          <w:rFonts w:eastAsia="仿宋_GB2312" w:hint="eastAsia"/>
          <w:sz w:val="32"/>
          <w:szCs w:val="32"/>
        </w:rPr>
        <w:t>2022</w:t>
      </w:r>
      <w:r w:rsidR="00222CD1">
        <w:rPr>
          <w:rFonts w:eastAsia="仿宋_GB2312" w:hint="eastAsia"/>
          <w:sz w:val="32"/>
          <w:szCs w:val="32"/>
        </w:rPr>
        <w:t>年部门整体支出和项目支出全面开展绩效自评的通知</w:t>
      </w:r>
      <w:r>
        <w:rPr>
          <w:rFonts w:eastAsia="仿宋_GB2312"/>
          <w:sz w:val="32"/>
          <w:szCs w:val="32"/>
        </w:rPr>
        <w:t>》的文件精神，我</w:t>
      </w:r>
      <w:r w:rsidR="00222CD1">
        <w:rPr>
          <w:rFonts w:eastAsia="仿宋_GB2312" w:hint="eastAsia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对部门整体支出进行了绩效评价，现报告如下：</w:t>
      </w:r>
    </w:p>
    <w:p w:rsidR="009A4142" w:rsidRDefault="002247AD" w:rsidP="008D2395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一、部门（单位）基本情况</w:t>
      </w:r>
    </w:p>
    <w:p w:rsidR="009A4142" w:rsidRDefault="002247AD" w:rsidP="002B58FA">
      <w:pPr>
        <w:widowControl/>
        <w:spacing w:line="560" w:lineRule="exact"/>
        <w:ind w:firstLineChars="196" w:firstLine="630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 w:rsidR="006324F2" w:rsidRPr="006324F2" w:rsidRDefault="006324F2" w:rsidP="002B58FA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根据社会治理有关法律法规政策，负责全区社会治理有关问题的调查研究，掌握全区各级各部门综治工作进展情况，组织开展对社会治安和社会稳定形势的整体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判、动态监测，并向区委、区政府、区委政法委提出相关工作建议和督办建议。</w:t>
      </w:r>
    </w:p>
    <w:p w:rsidR="006324F2" w:rsidRPr="006324F2" w:rsidRDefault="006324F2" w:rsidP="002B58FA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负责组织、协调全区社会治安防控体系建设与维护工作，逐步实现各信息平台的共建共享。对全区各级综治中心</w:t>
      </w:r>
      <w:bookmarkStart w:id="0" w:name="_GoBack"/>
      <w:bookmarkEnd w:id="0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实体化建设和运行工作进行指导、评价。</w:t>
      </w:r>
    </w:p>
    <w:p w:rsidR="006324F2" w:rsidRPr="006324F2" w:rsidRDefault="006324F2" w:rsidP="002B58FA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依托综治信息系统、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综治视联网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、公共安全视频监控系统等平台，逐步实现对辖区内社会治安状况的实时监控、分析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判。</w:t>
      </w:r>
    </w:p>
    <w:p w:rsidR="006324F2" w:rsidRPr="006324F2" w:rsidRDefault="006324F2" w:rsidP="002B58FA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负责全区网格信息化系统建设和管理，有机整合分散在各部门（单位）的信息资源。协调、指导、推动全区网格化管理工作，拓展网格化管理服务功能，推进网格化管理信息化、智能化建设，建立覆盖全区的网格化服务管理平台和高素质的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网格员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队伍，对全区群众有关社会治安、矛盾纠纷等方面的求助和投诉进行受理、分流及统计分析。负责全区各乡镇（街道）、村（社区）社会治理网格化工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作考核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评价相关事务性工作。</w:t>
      </w:r>
    </w:p>
    <w:p w:rsidR="006324F2" w:rsidRPr="006324F2" w:rsidRDefault="006324F2" w:rsidP="002B58FA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5.</w:t>
      </w: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负责宣传流动人口和出租屋管理相关法律法规，掌握辖区内流动人口和出租屋的基本情况，并负责对有关部门流动人口和出租屋管理工作的指导、协调、统计、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判、评价。发现各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类涉稳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、涉恐、</w:t>
      </w:r>
      <w:proofErr w:type="gramStart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涉疆隐患</w:t>
      </w:r>
      <w:proofErr w:type="gramEnd"/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或其它违法犯罪线索向有关部门反馈。协助有关部门开展流动人口和出租屋管理服务，维护流动人口的合法权益。</w:t>
      </w:r>
    </w:p>
    <w:p w:rsidR="006324F2" w:rsidRPr="006324F2" w:rsidRDefault="006324F2" w:rsidP="002B58FA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协助开展平安南岳创建工作。</w:t>
      </w:r>
    </w:p>
    <w:p w:rsidR="009A4142" w:rsidRPr="006324F2" w:rsidRDefault="006324F2" w:rsidP="002B58FA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6324F2">
        <w:rPr>
          <w:rFonts w:ascii="Times New Roman" w:eastAsia="仿宋_GB2312" w:hAnsi="Times New Roman" w:cs="Times New Roman" w:hint="eastAsia"/>
          <w:sz w:val="32"/>
          <w:szCs w:val="32"/>
        </w:rPr>
        <w:t>完成区委政法委交办的其他任务。</w:t>
      </w:r>
    </w:p>
    <w:p w:rsidR="009A4142" w:rsidRDefault="002247AD" w:rsidP="002B58FA">
      <w:pPr>
        <w:widowControl/>
        <w:spacing w:line="560" w:lineRule="exact"/>
        <w:ind w:firstLineChars="196" w:firstLine="63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（二）机构设置情况</w:t>
      </w:r>
    </w:p>
    <w:p w:rsidR="009A4142" w:rsidRDefault="002247AD" w:rsidP="002B58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</w:t>
      </w:r>
      <w:r w:rsidR="00632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，我</w:t>
      </w:r>
      <w:r w:rsidR="006324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内设</w:t>
      </w:r>
      <w:r w:rsidR="00B306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综合股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B306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社会治理股、网格化管理股</w:t>
      </w:r>
      <w:r w:rsidR="00A879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A879F6">
        <w:rPr>
          <w:rFonts w:ascii="Times New Roman" w:eastAsia="仿宋_GB2312" w:hAnsi="Times New Roman" w:cs="Times New Roman"/>
          <w:kern w:val="0"/>
          <w:sz w:val="32"/>
          <w:szCs w:val="32"/>
        </w:rPr>
        <w:t>个</w:t>
      </w:r>
      <w:r w:rsidR="00A879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股</w:t>
      </w:r>
      <w:r w:rsidR="00A879F6">
        <w:rPr>
          <w:rFonts w:ascii="Times New Roman" w:eastAsia="仿宋_GB2312" w:hAnsi="Times New Roman" w:cs="Times New Roman"/>
          <w:kern w:val="0"/>
          <w:sz w:val="32"/>
          <w:szCs w:val="32"/>
        </w:rPr>
        <w:t>室</w:t>
      </w:r>
      <w:r w:rsidR="00B306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9A4142" w:rsidRDefault="002247AD" w:rsidP="002B58FA">
      <w:pPr>
        <w:widowControl/>
        <w:spacing w:line="560" w:lineRule="exact"/>
        <w:ind w:firstLineChars="196" w:firstLine="63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（三）人员编制情况</w:t>
      </w:r>
    </w:p>
    <w:p w:rsidR="009A4142" w:rsidRDefault="002247AD" w:rsidP="002B58FA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 w:rsidR="006324F2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年末，我单位共有编制</w:t>
      </w:r>
      <w:r w:rsidR="006324F2"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人，其中行政编制</w:t>
      </w:r>
      <w:r w:rsidR="006324F2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人，事业编制</w:t>
      </w:r>
      <w:r w:rsidR="006324F2"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人。年末实有在职人员</w:t>
      </w:r>
      <w:r w:rsidR="006324F2"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人，离休人员</w:t>
      </w:r>
      <w:r w:rsidR="006324F2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人。</w:t>
      </w:r>
    </w:p>
    <w:p w:rsidR="009A4142" w:rsidRDefault="002247AD" w:rsidP="002B58F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一般公共预算支出情况</w:t>
      </w:r>
    </w:p>
    <w:p w:rsidR="009A4142" w:rsidRDefault="002247AD" w:rsidP="002B58FA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（一）基本支出情况</w:t>
      </w:r>
    </w:p>
    <w:p w:rsidR="009A4142" w:rsidRPr="00A52F06" w:rsidRDefault="002247AD" w:rsidP="00A52F06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2F06">
        <w:rPr>
          <w:rFonts w:ascii="Times New Roman" w:eastAsia="仿宋_GB2312" w:hAnsi="Times New Roman" w:cs="Times New Roman"/>
          <w:sz w:val="32"/>
          <w:szCs w:val="32"/>
        </w:rPr>
        <w:t>基本支出</w:t>
      </w:r>
      <w:proofErr w:type="gramStart"/>
      <w:r w:rsidRPr="00A52F06">
        <w:rPr>
          <w:rFonts w:ascii="Times New Roman" w:eastAsia="仿宋_GB2312" w:hAnsi="Times New Roman" w:cs="Times New Roman"/>
          <w:sz w:val="32"/>
          <w:szCs w:val="32"/>
        </w:rPr>
        <w:t>系保障</w:t>
      </w:r>
      <w:proofErr w:type="gramEnd"/>
      <w:r w:rsidRPr="00A52F06">
        <w:rPr>
          <w:rFonts w:ascii="Times New Roman" w:eastAsia="仿宋_GB2312" w:hAnsi="Times New Roman" w:cs="Times New Roman"/>
          <w:sz w:val="32"/>
          <w:szCs w:val="32"/>
        </w:rPr>
        <w:t>我</w:t>
      </w:r>
      <w:r w:rsidR="00D763F9" w:rsidRPr="00A52F06"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机构正常运转、完成日常工作任务而发生的各项支出，包括用于在职基本工资、津贴补贴等人员经费以及办公费、印刷费、水电费、办公设备购置等日常公用经费。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763F9" w:rsidRPr="00A52F0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年基本支出</w:t>
      </w:r>
      <w:r w:rsidR="00625DB2" w:rsidRPr="00A52F06">
        <w:rPr>
          <w:rFonts w:ascii="Times New Roman" w:eastAsia="仿宋_GB2312" w:hAnsi="Times New Roman" w:cs="Times New Roman" w:hint="eastAsia"/>
          <w:sz w:val="32"/>
          <w:szCs w:val="32"/>
        </w:rPr>
        <w:t>65.89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万元，较上年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减少</w:t>
      </w:r>
      <w:r w:rsidR="00131F97" w:rsidRPr="00A52F06">
        <w:rPr>
          <w:rFonts w:ascii="Times New Roman" w:eastAsia="仿宋_GB2312" w:hAnsi="Times New Roman" w:cs="Times New Roman" w:hint="eastAsia"/>
          <w:sz w:val="32"/>
          <w:szCs w:val="32"/>
        </w:rPr>
        <w:t>30.45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万元。基本支出中人员经费</w:t>
      </w:r>
      <w:r w:rsidR="00625DB2" w:rsidRPr="00A52F06">
        <w:rPr>
          <w:rFonts w:ascii="Times New Roman" w:eastAsia="仿宋_GB2312" w:hAnsi="Times New Roman" w:cs="Times New Roman"/>
          <w:sz w:val="32"/>
          <w:szCs w:val="32"/>
        </w:rPr>
        <w:t>53.99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A52F06">
        <w:rPr>
          <w:rFonts w:ascii="Times New Roman" w:eastAsia="仿宋_GB2312" w:hAnsi="Times New Roman" w:cs="Times New Roman"/>
          <w:sz w:val="32"/>
          <w:szCs w:val="32"/>
        </w:rPr>
        <w:t>占基本</w:t>
      </w:r>
      <w:proofErr w:type="gramEnd"/>
      <w:r w:rsidRPr="00A52F06">
        <w:rPr>
          <w:rFonts w:ascii="Times New Roman" w:eastAsia="仿宋_GB2312" w:hAnsi="Times New Roman" w:cs="Times New Roman"/>
          <w:sz w:val="32"/>
          <w:szCs w:val="32"/>
        </w:rPr>
        <w:t>支出的</w:t>
      </w:r>
      <w:r w:rsidR="00625DB2" w:rsidRPr="00A52F06">
        <w:rPr>
          <w:rFonts w:ascii="Times New Roman" w:eastAsia="仿宋_GB2312" w:hAnsi="Times New Roman" w:cs="Times New Roman" w:hint="eastAsia"/>
          <w:sz w:val="32"/>
          <w:szCs w:val="32"/>
        </w:rPr>
        <w:t>82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%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与上年基本持平；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日常公用经费</w:t>
      </w:r>
      <w:r w:rsidR="00625DB2" w:rsidRPr="00A52F06">
        <w:rPr>
          <w:rFonts w:ascii="Times New Roman" w:eastAsia="仿宋_GB2312" w:hAnsi="Times New Roman" w:cs="Times New Roman" w:hint="eastAsia"/>
          <w:sz w:val="32"/>
          <w:szCs w:val="32"/>
        </w:rPr>
        <w:t>11.9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A52F06">
        <w:rPr>
          <w:rFonts w:ascii="Times New Roman" w:eastAsia="仿宋_GB2312" w:hAnsi="Times New Roman" w:cs="Times New Roman"/>
          <w:sz w:val="32"/>
          <w:szCs w:val="32"/>
        </w:rPr>
        <w:t>占基本</w:t>
      </w:r>
      <w:proofErr w:type="gramEnd"/>
      <w:r w:rsidRPr="00A52F06">
        <w:rPr>
          <w:rFonts w:ascii="Times New Roman" w:eastAsia="仿宋_GB2312" w:hAnsi="Times New Roman" w:cs="Times New Roman"/>
          <w:sz w:val="32"/>
          <w:szCs w:val="32"/>
        </w:rPr>
        <w:t>支出的</w:t>
      </w:r>
      <w:r w:rsidR="00625DB2" w:rsidRPr="00A52F06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%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，较上年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131F97" w:rsidRPr="00A52F06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Pr="00A52F06">
        <w:rPr>
          <w:rFonts w:ascii="Times New Roman" w:eastAsia="仿宋_GB2312" w:hAnsi="Times New Roman" w:cs="Times New Roman"/>
          <w:sz w:val="32"/>
          <w:szCs w:val="32"/>
        </w:rPr>
        <w:t>%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主要原因是受疫情影响和压减非重点、刚性支出要求，我单位厉行节约、严格把关，严控三</w:t>
      </w:r>
      <w:proofErr w:type="gramStart"/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公经费</w:t>
      </w:r>
      <w:proofErr w:type="gramEnd"/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支出，大力压减公用经费支出。</w:t>
      </w:r>
    </w:p>
    <w:p w:rsidR="009A4142" w:rsidRDefault="002247AD" w:rsidP="002B58FA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楷体_GB2312" w:eastAsia="楷体_GB2312" w:hAnsi="Times New Roman" w:cs="Times New Roman"/>
          <w:b/>
          <w:sz w:val="32"/>
          <w:szCs w:val="32"/>
        </w:rPr>
        <w:t>项目支出情况</w:t>
      </w:r>
    </w:p>
    <w:p w:rsidR="009A4142" w:rsidRDefault="002247AD" w:rsidP="006E1FBB">
      <w:pPr>
        <w:tabs>
          <w:tab w:val="left" w:pos="2296"/>
        </w:tabs>
        <w:spacing w:beforeLines="50" w:before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项目支出系我</w:t>
      </w:r>
      <w:r w:rsidR="00D763F9">
        <w:rPr>
          <w:rFonts w:eastAsia="仿宋_GB2312" w:hint="eastAsia"/>
          <w:sz w:val="32"/>
          <w:szCs w:val="32"/>
        </w:rPr>
        <w:t>中心</w:t>
      </w:r>
      <w:r w:rsidR="00ED6977" w:rsidRPr="00ED6977">
        <w:rPr>
          <w:rFonts w:eastAsia="仿宋_GB2312" w:hint="eastAsia"/>
          <w:sz w:val="32"/>
          <w:szCs w:val="32"/>
        </w:rPr>
        <w:t>为完成特定行政工作任务或事业发展目标而发生的支出，包括有关业务工作经费和运行维护经费。其中：主要用于社会治理网格化信息平台专线租赁、流动人口和出租屋管理、平安创建等方面支出。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 w:rsidR="00ED6977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年项目支出</w:t>
      </w:r>
      <w:r w:rsidR="00131F97">
        <w:rPr>
          <w:rFonts w:eastAsia="仿宋_GB2312" w:hint="eastAsia"/>
          <w:sz w:val="32"/>
          <w:szCs w:val="32"/>
        </w:rPr>
        <w:t>46.26</w:t>
      </w:r>
      <w:r>
        <w:rPr>
          <w:rFonts w:eastAsia="仿宋_GB2312"/>
          <w:sz w:val="32"/>
          <w:szCs w:val="32"/>
        </w:rPr>
        <w:t>万元，比上年</w:t>
      </w:r>
      <w:r w:rsidR="00131F97">
        <w:rPr>
          <w:rFonts w:eastAsia="仿宋_GB2312" w:hint="eastAsia"/>
          <w:sz w:val="32"/>
          <w:szCs w:val="32"/>
        </w:rPr>
        <w:t>增加</w:t>
      </w:r>
      <w:r w:rsidR="00131F97">
        <w:rPr>
          <w:rFonts w:eastAsia="仿宋_GB2312" w:hint="eastAsia"/>
          <w:sz w:val="32"/>
          <w:szCs w:val="32"/>
        </w:rPr>
        <w:t>46.26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主要是</w:t>
      </w:r>
      <w:r>
        <w:rPr>
          <w:rFonts w:eastAsia="仿宋_GB2312" w:hint="eastAsia"/>
          <w:sz w:val="32"/>
          <w:szCs w:val="32"/>
        </w:rPr>
        <w:t>由于</w:t>
      </w:r>
      <w:proofErr w:type="gramStart"/>
      <w:r w:rsidR="008A63A3" w:rsidRPr="006324F2">
        <w:rPr>
          <w:rFonts w:ascii="Times New Roman" w:eastAsia="仿宋_GB2312" w:hAnsi="Times New Roman" w:cs="Times New Roman" w:hint="eastAsia"/>
          <w:sz w:val="32"/>
          <w:szCs w:val="32"/>
        </w:rPr>
        <w:t>综治视联网</w:t>
      </w:r>
      <w:proofErr w:type="gramEnd"/>
      <w:r w:rsidR="008A63A3">
        <w:rPr>
          <w:rFonts w:ascii="Times New Roman" w:eastAsia="仿宋_GB2312" w:hAnsi="Times New Roman" w:cs="Times New Roman" w:hint="eastAsia"/>
          <w:sz w:val="32"/>
          <w:szCs w:val="32"/>
        </w:rPr>
        <w:t>、网格化管理、平安建设等项目开支。</w:t>
      </w:r>
    </w:p>
    <w:p w:rsidR="009A4142" w:rsidRPr="00361093" w:rsidRDefault="002247AD" w:rsidP="006E1FBB">
      <w:pPr>
        <w:spacing w:beforeLines="50" w:before="156" w:line="560" w:lineRule="exact"/>
        <w:ind w:firstLineChars="200" w:firstLine="640"/>
        <w:rPr>
          <w:rFonts w:ascii="黑体" w:eastAsia="黑体" w:hAnsi="Times New Roman" w:cs="Times New Roman" w:hint="eastAsia"/>
          <w:sz w:val="32"/>
          <w:szCs w:val="32"/>
        </w:rPr>
      </w:pPr>
      <w:r w:rsidRPr="00361093">
        <w:rPr>
          <w:rFonts w:ascii="黑体" w:eastAsia="黑体" w:hAnsi="Times New Roman" w:cs="Times New Roman" w:hint="eastAsia"/>
          <w:sz w:val="32"/>
          <w:szCs w:val="32"/>
        </w:rPr>
        <w:t>三、</w:t>
      </w:r>
      <w:r w:rsidRPr="00361093">
        <w:rPr>
          <w:rFonts w:ascii="黑体" w:eastAsia="黑体" w:hAnsi="Times New Roman" w:cs="Times New Roman"/>
          <w:sz w:val="32"/>
          <w:szCs w:val="32"/>
        </w:rPr>
        <w:t>部门整体支出绩效情况</w:t>
      </w:r>
    </w:p>
    <w:p w:rsidR="00F40005" w:rsidRPr="00A52F06" w:rsidRDefault="00F40005" w:rsidP="00A52F06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我中心坚持以习近平新时代中国特色社会主义思想为指导，深入贯彻落实市委、市政府《关于创建全国市域社会治理现代化试点合格城市实施方案（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2020-2022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）》，围绕创建市</w:t>
      </w:r>
      <w:proofErr w:type="gramStart"/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域社会</w:t>
      </w:r>
      <w:proofErr w:type="gramEnd"/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治理现代化试点工作示范区、建设更高水平平安南岳的总目标，夯实“公众安全感和满意度测评”群众基础，</w:t>
      </w:r>
      <w:r w:rsidR="00AE6FFD" w:rsidRPr="00A52F06">
        <w:rPr>
          <w:rFonts w:ascii="Times New Roman" w:eastAsia="仿宋_GB2312" w:hAnsi="Times New Roman" w:cs="Times New Roman" w:hint="eastAsia"/>
          <w:sz w:val="32"/>
          <w:szCs w:val="32"/>
        </w:rPr>
        <w:t>不断提升社会治理能力和治理水平现代化水平，为把南岳打造为世界级文化旅游目的地</w:t>
      </w:r>
      <w:r w:rsidR="00AE6FFD" w:rsidRPr="00A52F06">
        <w:rPr>
          <w:rFonts w:ascii="Times New Roman" w:eastAsia="仿宋_GB2312" w:hAnsi="Times New Roman" w:cs="Times New Roman" w:hint="eastAsia"/>
          <w:sz w:val="32"/>
          <w:szCs w:val="32"/>
        </w:rPr>
        <w:t>贡献一份力量</w:t>
      </w:r>
      <w:r w:rsidR="00AE6FFD" w:rsidRPr="00A52F0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879F6" w:rsidRDefault="00C77DED" w:rsidP="00DE5CB8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）</w:t>
      </w:r>
      <w:r w:rsidR="00A879F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坚持守正创新，平安建设工作常抓常新</w:t>
      </w:r>
    </w:p>
    <w:p w:rsidR="00A879F6" w:rsidRPr="00A52F06" w:rsidRDefault="00A879F6" w:rsidP="00DE5CB8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7ECE">
        <w:rPr>
          <w:rFonts w:ascii="Times New Roman" w:eastAsia="仿宋_GB2312" w:hAnsi="Times New Roman" w:cs="Times New Roman" w:hint="eastAsia"/>
          <w:sz w:val="32"/>
          <w:szCs w:val="32"/>
        </w:rPr>
        <w:t>统筹安排全区</w:t>
      </w:r>
      <w:r w:rsidRPr="00317ECE"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 w:rsidRPr="00317ECE">
        <w:rPr>
          <w:rFonts w:ascii="Times New Roman" w:eastAsia="仿宋_GB2312" w:hAnsi="Times New Roman" w:cs="Times New Roman" w:hint="eastAsia"/>
          <w:sz w:val="32"/>
          <w:szCs w:val="32"/>
        </w:rPr>
        <w:t>个单位参与</w:t>
      </w:r>
      <w:r w:rsidRPr="00317ECE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317ECE">
        <w:rPr>
          <w:rFonts w:ascii="Times New Roman" w:eastAsia="仿宋_GB2312" w:hAnsi="Times New Roman" w:cs="Times New Roman" w:hint="eastAsia"/>
          <w:sz w:val="32"/>
          <w:szCs w:val="32"/>
        </w:rPr>
        <w:t>个小区、</w:t>
      </w:r>
      <w:r w:rsidRPr="00317EC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17ECE">
        <w:rPr>
          <w:rFonts w:ascii="Times New Roman" w:eastAsia="仿宋_GB2312" w:hAnsi="Times New Roman" w:cs="Times New Roman" w:hint="eastAsia"/>
          <w:sz w:val="32"/>
          <w:szCs w:val="32"/>
        </w:rPr>
        <w:t>个社区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A52F06">
        <w:rPr>
          <w:rFonts w:ascii="Times New Roman" w:eastAsia="仿宋_GB2312" w:hAnsi="Times New Roman" w:cs="Times New Roman" w:hint="eastAsia"/>
          <w:sz w:val="32"/>
          <w:szCs w:val="32"/>
        </w:rPr>
        <w:t>个村的联创共建，构建共建共治共享工作格局。</w:t>
      </w:r>
    </w:p>
    <w:p w:rsidR="00A879F6" w:rsidRPr="00A52F06" w:rsidRDefault="00A879F6" w:rsidP="00BB7374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1.制订平安建设标准。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重新制订“平安四型小区”和“平安村”创建标准、评分标准，完善出台《南岳区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年“平安四型小区”和“平安村”标准化建设实施方案》《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年平安南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岳标准化建设工作考评办法》，要求在平安建设进程中工作做到“五化”（平安志愿活动常态化、群防群治日常化、“五小工程”建设制度化、治安防控精细化、联创共建责任化），实现“七无”（无非访、无治安刑事案件、无群体事件、无村（地）霸和宗族恶势力、无安全事故、无黄赌毒邪、无负面舆情）目标。</w:t>
      </w:r>
    </w:p>
    <w:p w:rsidR="00A879F6" w:rsidRPr="00A52F06" w:rsidRDefault="00A879F6" w:rsidP="00BB7374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2.推进平安建设创新。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进一步完善“平安四型小区”“平安村”“综治中心”基层治理长效机制，完善矛盾纠纷多元化解机制，积极创建市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域社会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治理现代化试点示范区，不断巩固提升“平安南岳”建设成果。申报确认了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38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名“湾村明白人”，大力组建了一支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325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人的“衡阳群众·平安守护人”队伍，建立完善了“平安指导员”制度。</w:t>
      </w:r>
    </w:p>
    <w:p w:rsidR="00A879F6" w:rsidRPr="00A52F06" w:rsidRDefault="00A879F6" w:rsidP="00BB7374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3.守牢平安建设底线。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围绕全区“聚力中心化”平安建设行动，守好守牢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条底线红线，出台《平安建设行动之平安南岳工作方案》，明确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项主要任务和牵头单位、责任单位，形成共同维护平安南岳强大合力。持续推进“平安五小工程”和“七无”社区（村）、小区建设，全区共解决群众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急难愁盼的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“平安五小工程”民生实事及问题隐患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100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余件（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）。充分发挥综治考核指挥棒作用，建立全区平安建设工作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任务月清单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工作责任制，不断完善日考评、月通报、季讲评、年考评工作机制。坚持治安形势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研判分析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工作制度，做到两月一点评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交办，坚持以防为主的工作思路</w:t>
      </w:r>
      <w:r w:rsidR="00146DC1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879F6" w:rsidRDefault="00C77DED" w:rsidP="00DE5CB8">
      <w:pPr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）</w:t>
      </w:r>
      <w:r w:rsidR="00A879F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瞄准工作目标，民调工作推进有的放矢</w:t>
      </w:r>
    </w:p>
    <w:p w:rsidR="00A879F6" w:rsidRPr="00A52F06" w:rsidRDefault="00A879F6" w:rsidP="00DE5CB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坚持把综治民调工作作为“一把手”工程来抓，广泛发动群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众，正确引导群众，充分依靠群众，不断提升人民群众对平安南岳的知晓率、认同感和满意度。</w:t>
      </w:r>
    </w:p>
    <w:p w:rsidR="00A879F6" w:rsidRPr="00A52F06" w:rsidRDefault="00C77DED" w:rsidP="0027713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1.</w:t>
      </w:r>
      <w:r w:rsidR="00A879F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强化组织领导。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区委常委会专题研究，成立由区委书记刘浪任组长的高规格提升公众安全感和满意</w:t>
      </w:r>
      <w:proofErr w:type="gramStart"/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度工作</w:t>
      </w:r>
      <w:proofErr w:type="gramEnd"/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导小组，要求全区各单位均成立由党委（党组）书记任组长的领导小组，组建工作专班，由专人负责。召开全区综治民调工作动员部署会，区委书记刘浪出席会议并作重要讲话，要求扎实做好群众工作，提升群众满意度，全力确保实现争先目标。区委政法委员会全体（扩大）会议专题研究部署迎接省、市公众安全感和满意度测评工作，对政法干警大巡防、大走访、大宣传工作进行安排部署。区平安办专门制定下发了《南岳区“国庆平安行动”实施方案》，统筹部署走访宣传、巡逻防控、严打整治、平安创建等工作，扎实推动“平安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满意”创建行动取得实效。</w:t>
      </w:r>
    </w:p>
    <w:p w:rsidR="00A879F6" w:rsidRPr="00A52F06" w:rsidRDefault="00C77DED" w:rsidP="0027713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.</w:t>
      </w:r>
      <w:r w:rsidR="00A879F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强化宣传引导。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区平安办印制了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余份“共建平安南岳，共享南岳平安”的宣传折页，组织开展“平安守护人在行动”活动，全面开展联勤巡防、入户走访宣传、问卷调查等，针对入户走访调查、区民调中心随机问卷调查和全市网上调查中反馈的问题，对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60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余个单位下发了交办函，限时整改回复，区平安办就整改落实情况进行电话抽查回访。</w:t>
      </w:r>
    </w:p>
    <w:p w:rsidR="000741FF" w:rsidRPr="00A52F06" w:rsidRDefault="00C77DED" w:rsidP="0027713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.</w:t>
      </w:r>
      <w:r w:rsidR="00A879F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强化责任包干。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建立层级培训工作责任制，全区各单位实行班子成员</w:t>
      </w:r>
      <w:proofErr w:type="gramStart"/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包干部</w:t>
      </w:r>
      <w:proofErr w:type="gramEnd"/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职工、包离退休人员，干部职工包家属，多形式开展宣传。强化乡镇、街道属地责任，实行党政班子成员包片（村、社区）、干部包户工作责任制，引导群众公正客观回答民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调电话。按照“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名政法干警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名单位干部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名乡镇干部”包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个村或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个小区模式组织走访宣传。强化行业部门主管责任，区教育部门实行“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名教育局班子成员包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所中小学校，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名教师包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班级学生家长”的包干责任制，卫健、住建、交通运输、市场监督管理等行业主管部门，按照条块结合的要求，加大行业指导督查工作力度，将平安南岳建设引向深入。强化政法单位工作责任，为全区政法干警发放民情走访日记本，要求每名干警联户走访不少于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户，收集电话和调查问卷不少于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</w:t>
      </w:r>
      <w:r w:rsidR="00A879F6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人。</w:t>
      </w:r>
    </w:p>
    <w:p w:rsidR="00A879F6" w:rsidRDefault="00C77DED" w:rsidP="00DE5CB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）</w:t>
      </w:r>
      <w:r w:rsidR="00A879F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务求工作成效，网格管理工作</w:t>
      </w:r>
      <w:proofErr w:type="gramStart"/>
      <w:r w:rsidR="00A879F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走深走实</w:t>
      </w:r>
      <w:proofErr w:type="gramEnd"/>
    </w:p>
    <w:p w:rsidR="00A879F6" w:rsidRPr="00A52F06" w:rsidRDefault="00A879F6" w:rsidP="00DE5CB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1.快速组建网格队伍。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南岳区全区目前共划分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119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个网格，共有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332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个网格员。为加快网格绘制和平台信息录入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,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我区第一时间组建了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名区级、乡镇（街道）、村社三级网络信息技术指导专员队伍，极大地提高了信息平台录入工作效率。</w:t>
      </w:r>
    </w:p>
    <w:p w:rsidR="006E0BFD" w:rsidRPr="00A52F06" w:rsidRDefault="00A879F6" w:rsidP="0027713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2.高效录入平台信息。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网格员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通过日常走访、群众反映、集中排查等途径，遵循“全面采集、客观反应、准确迅速、及时更新”的原则，加快平台信息采集、录入工作。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目前，我区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“云治衡阳”市</w:t>
      </w:r>
      <w:proofErr w:type="gramStart"/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域社会</w:t>
      </w:r>
      <w:proofErr w:type="gramEnd"/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治理信息化平台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录入基础数据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74245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条，其中人口数据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57134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条，房屋数据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15895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条，两新组织数据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689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条，重点青少年数据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249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条，校园数据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条，特殊人群数据</w:t>
      </w:r>
      <w:r w:rsidR="006E0BFD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249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条。</w:t>
      </w:r>
    </w:p>
    <w:p w:rsidR="00A879F6" w:rsidRPr="00A52F06" w:rsidRDefault="00A879F6" w:rsidP="0027713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3.有效化解矛盾纠纷。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把矛盾纠纷化解在基层、把问题解决在网格，真正实现“小事不出网格，大事不出社区（村）”，我区加大对各类矛盾纠纷、安全隐患的排查调处力度，真正做到早排查、早发现、早化解，最大限度把群众诉求解决在网格内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目前，我区通过“云治衡阳”市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域社会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治理信息化平台共办结矛盾纠纷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300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余件，办结率达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4D228F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%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，形成了“人在格中走，事在格中办”的良好局面。</w:t>
      </w:r>
    </w:p>
    <w:p w:rsidR="00A52F06" w:rsidRPr="00A52F06" w:rsidRDefault="00A879F6" w:rsidP="0027713A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0" w:color="FFFFFF"/>
        </w:pBd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4.全面细化网格服务。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我区网格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化微信群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的居民覆盖率达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81.29%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，充分利用网格</w:t>
      </w:r>
      <w:proofErr w:type="gramStart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微信群</w:t>
      </w:r>
      <w:proofErr w:type="gramEnd"/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开展服务管理、平安创建、综治民调、森林防火、疫情防控、安全生产等工作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,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网格管理员（平安志愿者）增强责任意识，目前我区各级综治中心已建立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136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个群防群治组织及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159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个服务团队，进一步细化了网格化服务工作，切实提升了网格服务工作成效。</w:t>
      </w:r>
    </w:p>
    <w:p w:rsidR="009A4142" w:rsidRPr="009A3230" w:rsidRDefault="002247AD" w:rsidP="00DE5CB8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9A3230">
        <w:rPr>
          <w:rFonts w:ascii="黑体" w:eastAsia="黑体" w:hAnsi="Times New Roman" w:cs="Times New Roman" w:hint="eastAsia"/>
          <w:sz w:val="32"/>
          <w:szCs w:val="32"/>
        </w:rPr>
        <w:t>四、</w:t>
      </w:r>
      <w:r w:rsidRPr="009A3230">
        <w:rPr>
          <w:rFonts w:ascii="黑体" w:eastAsia="黑体" w:hAnsi="Times New Roman" w:cs="Times New Roman"/>
          <w:sz w:val="32"/>
          <w:szCs w:val="32"/>
        </w:rPr>
        <w:t>存在的问题及原因分析</w:t>
      </w:r>
    </w:p>
    <w:p w:rsidR="009A4142" w:rsidRPr="00A52F06" w:rsidRDefault="002247AD" w:rsidP="00DE5C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A3230">
        <w:rPr>
          <w:rFonts w:ascii="Times New Roman" w:eastAsia="仿宋_GB2312" w:hAnsi="Times New Roman" w:cs="Times New Roman"/>
          <w:kern w:val="0"/>
          <w:sz w:val="32"/>
          <w:szCs w:val="32"/>
        </w:rPr>
        <w:t>通过前述对我</w:t>
      </w:r>
      <w:r w:rsidR="008A63A3" w:rsidRPr="009A32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中心</w:t>
      </w:r>
      <w:r w:rsidRPr="009A3230">
        <w:rPr>
          <w:rFonts w:ascii="Times New Roman" w:eastAsia="仿宋_GB2312" w:hAnsi="Times New Roman" w:cs="Times New Roman"/>
          <w:kern w:val="0"/>
          <w:sz w:val="32"/>
          <w:szCs w:val="32"/>
        </w:rPr>
        <w:t>整体支出情况的分析，反映出目前整体支出主要在预算执行方面还存在一些问题和不足</w:t>
      </w:r>
      <w:r w:rsidR="004B781D" w:rsidRPr="009A32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9A323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部分项目完成度有待提升。由于疫情冲击影响的客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观因素，以及牢固树立过紧日子思想，主动压缩非重点、刚性支出的主观因素，导致部分预算项目如培训费</w:t>
      </w:r>
      <w:r w:rsidR="008A63A3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预算执行情况不</w:t>
      </w:r>
      <w:r w:rsidR="008A63A3"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够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理想。我们将在</w:t>
      </w:r>
      <w:r w:rsidRPr="00A52F06">
        <w:rPr>
          <w:rFonts w:ascii="Times New Roman" w:eastAsia="仿宋_GB2312" w:hAnsi="Times New Roman" w:cs="Times New Roman"/>
          <w:kern w:val="0"/>
          <w:sz w:val="32"/>
          <w:szCs w:val="32"/>
        </w:rPr>
        <w:t>下年加以重视，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提前谋划，科学编制项目预算，进一步提高预算编制的精确性。</w:t>
      </w: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</w:t>
      </w:r>
    </w:p>
    <w:p w:rsidR="009A4142" w:rsidRPr="00361093" w:rsidRDefault="002B58FA" w:rsidP="002B58FA">
      <w:pPr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五、</w:t>
      </w:r>
      <w:r w:rsidR="002247AD" w:rsidRPr="00361093">
        <w:rPr>
          <w:rFonts w:ascii="黑体" w:eastAsia="黑体" w:hAnsi="Times New Roman" w:cs="Times New Roman"/>
          <w:sz w:val="32"/>
          <w:szCs w:val="32"/>
        </w:rPr>
        <w:t>下一步改进措施</w:t>
      </w:r>
    </w:p>
    <w:p w:rsidR="009A4142" w:rsidRPr="00A52F06" w:rsidRDefault="002247AD" w:rsidP="002B58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2F06">
        <w:rPr>
          <w:rFonts w:ascii="Times New Roman" w:eastAsia="仿宋_GB2312" w:hAnsi="Times New Roman" w:cs="Times New Roman"/>
          <w:kern w:val="0"/>
          <w:sz w:val="32"/>
          <w:szCs w:val="32"/>
        </w:rPr>
        <w:t>针对上述存在的问题，拟采取以下改进措施：</w:t>
      </w:r>
    </w:p>
    <w:p w:rsidR="009A4142" w:rsidRPr="00A52F06" w:rsidRDefault="002247AD" w:rsidP="002B58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2F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强化预算管理，定期开展预算执行分析。通过定期对项目实施和预算执行情况进行梳理，及时掌握项目进度，督促项目早启动、早实施、早验收，对符合条件的项目按照项目进度支付相关款项，将预算资金管理贯穿于项目实施全过程中。</w:t>
      </w:r>
    </w:p>
    <w:sectPr w:rsidR="009A4142" w:rsidRPr="00A52F06" w:rsidSect="00EA231F">
      <w:footerReference w:type="default" r:id="rId9"/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E8" w:rsidRDefault="009343E8">
      <w:r>
        <w:separator/>
      </w:r>
    </w:p>
  </w:endnote>
  <w:endnote w:type="continuationSeparator" w:id="0">
    <w:p w:rsidR="009343E8" w:rsidRDefault="0093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42" w:rsidRDefault="002247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61405" wp14:editId="13BAD6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4142" w:rsidRDefault="002247A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2395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4142" w:rsidRDefault="002247A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2395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E8" w:rsidRDefault="009343E8">
      <w:r>
        <w:separator/>
      </w:r>
    </w:p>
  </w:footnote>
  <w:footnote w:type="continuationSeparator" w:id="0">
    <w:p w:rsidR="009343E8" w:rsidRDefault="0093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9CCF1"/>
    <w:multiLevelType w:val="singleLevel"/>
    <w:tmpl w:val="F639CC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4028E5"/>
    <w:multiLevelType w:val="singleLevel"/>
    <w:tmpl w:val="524028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2A871F"/>
    <w:multiLevelType w:val="singleLevel"/>
    <w:tmpl w:val="692A871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4F2C653"/>
    <w:multiLevelType w:val="singleLevel"/>
    <w:tmpl w:val="74F2C65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06247"/>
    <w:rsid w:val="00035707"/>
    <w:rsid w:val="00041602"/>
    <w:rsid w:val="000741FF"/>
    <w:rsid w:val="00123E7F"/>
    <w:rsid w:val="00131F97"/>
    <w:rsid w:val="00146DC1"/>
    <w:rsid w:val="00167292"/>
    <w:rsid w:val="001F60FC"/>
    <w:rsid w:val="001F7083"/>
    <w:rsid w:val="00222CD1"/>
    <w:rsid w:val="002247AD"/>
    <w:rsid w:val="0027713A"/>
    <w:rsid w:val="002B58FA"/>
    <w:rsid w:val="00317ECE"/>
    <w:rsid w:val="00334A5C"/>
    <w:rsid w:val="00335CFE"/>
    <w:rsid w:val="00361093"/>
    <w:rsid w:val="004516F8"/>
    <w:rsid w:val="00477AE9"/>
    <w:rsid w:val="004B781D"/>
    <w:rsid w:val="004D228F"/>
    <w:rsid w:val="00502486"/>
    <w:rsid w:val="00516EC3"/>
    <w:rsid w:val="00567A0C"/>
    <w:rsid w:val="005F6DFA"/>
    <w:rsid w:val="00625DB2"/>
    <w:rsid w:val="006324F2"/>
    <w:rsid w:val="0063391E"/>
    <w:rsid w:val="006A0DEE"/>
    <w:rsid w:val="006E0BFD"/>
    <w:rsid w:val="006E1B5C"/>
    <w:rsid w:val="006E1FBB"/>
    <w:rsid w:val="007B0C87"/>
    <w:rsid w:val="00881676"/>
    <w:rsid w:val="008A63A3"/>
    <w:rsid w:val="008D2395"/>
    <w:rsid w:val="008D4839"/>
    <w:rsid w:val="008F3C56"/>
    <w:rsid w:val="009343E8"/>
    <w:rsid w:val="009A3230"/>
    <w:rsid w:val="009A4142"/>
    <w:rsid w:val="009A745E"/>
    <w:rsid w:val="00A52F06"/>
    <w:rsid w:val="00A879F6"/>
    <w:rsid w:val="00AE6FFD"/>
    <w:rsid w:val="00B0080E"/>
    <w:rsid w:val="00B30691"/>
    <w:rsid w:val="00BB7374"/>
    <w:rsid w:val="00C77DED"/>
    <w:rsid w:val="00CA0637"/>
    <w:rsid w:val="00CD539A"/>
    <w:rsid w:val="00CD72B7"/>
    <w:rsid w:val="00D02F96"/>
    <w:rsid w:val="00D53011"/>
    <w:rsid w:val="00D73A07"/>
    <w:rsid w:val="00D763F9"/>
    <w:rsid w:val="00DE3CCC"/>
    <w:rsid w:val="00DE5CB8"/>
    <w:rsid w:val="00E516E4"/>
    <w:rsid w:val="00EA231F"/>
    <w:rsid w:val="00EB574D"/>
    <w:rsid w:val="00EC1595"/>
    <w:rsid w:val="00ED6977"/>
    <w:rsid w:val="00F33FE0"/>
    <w:rsid w:val="00F40005"/>
    <w:rsid w:val="149B2A0B"/>
    <w:rsid w:val="20E67351"/>
    <w:rsid w:val="28606852"/>
    <w:rsid w:val="29121970"/>
    <w:rsid w:val="29EF7861"/>
    <w:rsid w:val="30BE2A8F"/>
    <w:rsid w:val="429F3322"/>
    <w:rsid w:val="43102595"/>
    <w:rsid w:val="4A1504A0"/>
    <w:rsid w:val="52C14B04"/>
    <w:rsid w:val="55A02E49"/>
    <w:rsid w:val="58E06247"/>
    <w:rsid w:val="5DA220D3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样式3"/>
    <w:basedOn w:val="a"/>
    <w:qFormat/>
    <w:rPr>
      <w:rFonts w:ascii="Times New Roman" w:eastAsia="仿宋_GB2312" w:hAnsi="Times New Roman" w:cs="Times New Roman"/>
      <w:spacing w:val="113"/>
      <w:sz w:val="32"/>
    </w:rPr>
  </w:style>
  <w:style w:type="paragraph" w:customStyle="1" w:styleId="4">
    <w:name w:val="样式4"/>
    <w:basedOn w:val="a"/>
    <w:qFormat/>
    <w:rPr>
      <w:rFonts w:ascii="Times New Roman" w:eastAsia="仿宋_GB2312" w:hAnsi="Times New Roman" w:cs="Times New Roman"/>
      <w:snapToGrid w:val="0"/>
      <w:spacing w:val="79"/>
      <w:sz w:val="32"/>
    </w:rPr>
  </w:style>
  <w:style w:type="paragraph" w:customStyle="1" w:styleId="6">
    <w:name w:val="样式6"/>
    <w:basedOn w:val="a"/>
    <w:qFormat/>
    <w:rPr>
      <w:rFonts w:ascii="Times New Roman" w:eastAsia="仿宋_GB2312" w:hAnsi="Times New Roman" w:cs="Times New Roman"/>
      <w:spacing w:val="57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样式3"/>
    <w:basedOn w:val="a"/>
    <w:qFormat/>
    <w:rPr>
      <w:rFonts w:ascii="Times New Roman" w:eastAsia="仿宋_GB2312" w:hAnsi="Times New Roman" w:cs="Times New Roman"/>
      <w:spacing w:val="113"/>
      <w:sz w:val="32"/>
    </w:rPr>
  </w:style>
  <w:style w:type="paragraph" w:customStyle="1" w:styleId="4">
    <w:name w:val="样式4"/>
    <w:basedOn w:val="a"/>
    <w:qFormat/>
    <w:rPr>
      <w:rFonts w:ascii="Times New Roman" w:eastAsia="仿宋_GB2312" w:hAnsi="Times New Roman" w:cs="Times New Roman"/>
      <w:snapToGrid w:val="0"/>
      <w:spacing w:val="79"/>
      <w:sz w:val="32"/>
    </w:rPr>
  </w:style>
  <w:style w:type="paragraph" w:customStyle="1" w:styleId="6">
    <w:name w:val="样式6"/>
    <w:basedOn w:val="a"/>
    <w:qFormat/>
    <w:rPr>
      <w:rFonts w:ascii="Times New Roman" w:eastAsia="仿宋_GB2312" w:hAnsi="Times New Roman" w:cs="Times New Roman"/>
      <w:spacing w:val="57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7</Pages>
  <Words>600</Words>
  <Characters>3421</Characters>
  <Application>Microsoft Office Word</Application>
  <DocSecurity>0</DocSecurity>
  <Lines>28</Lines>
  <Paragraphs>8</Paragraphs>
  <ScaleCrop>false</ScaleCrop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54</cp:revision>
  <cp:lastPrinted>2022-12-08T01:17:00Z</cp:lastPrinted>
  <dcterms:created xsi:type="dcterms:W3CDTF">2020-10-27T13:06:00Z</dcterms:created>
  <dcterms:modified xsi:type="dcterms:W3CDTF">2023-02-08T08:12:00Z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