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南岳区环境卫生所</w:t>
      </w: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22</w:t>
      </w:r>
      <w:r>
        <w:rPr>
          <w:rFonts w:hint="eastAsia" w:ascii="方正小标宋简体" w:hAnsi="方正小标宋简体" w:eastAsia="方正小标宋简体" w:cs="方正小标宋简体"/>
          <w:sz w:val="44"/>
          <w:szCs w:val="44"/>
        </w:rPr>
        <w:t>年度部门整体支出</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方正小标宋_GBK"/>
          <w:sz w:val="44"/>
          <w:szCs w:val="44"/>
        </w:rPr>
      </w:pPr>
      <w:r>
        <w:rPr>
          <w:rFonts w:hint="eastAsia" w:ascii="方正小标宋简体" w:hAnsi="方正小标宋简体" w:eastAsia="方正小标宋简体" w:cs="方正小标宋简体"/>
          <w:sz w:val="44"/>
          <w:szCs w:val="44"/>
        </w:rPr>
        <w:t>绩效评价报告</w:t>
      </w:r>
    </w:p>
    <w:p>
      <w:pPr>
        <w:spacing w:line="600" w:lineRule="exact"/>
        <w:ind w:firstLine="645"/>
        <w:rPr>
          <w:rFonts w:eastAsia="仿宋_GB2312"/>
          <w:sz w:val="32"/>
          <w:szCs w:val="32"/>
        </w:rPr>
      </w:pPr>
    </w:p>
    <w:p>
      <w:pPr>
        <w:spacing w:line="600" w:lineRule="exact"/>
        <w:ind w:firstLine="645"/>
        <w:rPr>
          <w:rFonts w:eastAsia="仿宋_GB2312"/>
          <w:sz w:val="32"/>
          <w:szCs w:val="32"/>
        </w:rPr>
      </w:pPr>
      <w:r>
        <w:rPr>
          <w:rFonts w:eastAsia="仿宋_GB2312"/>
          <w:sz w:val="32"/>
          <w:szCs w:val="32"/>
        </w:rPr>
        <w:t>根据《中共中央 国务院关于全面实施预算绩效管理的意见》的文件精神，我</w:t>
      </w:r>
      <w:r>
        <w:rPr>
          <w:rFonts w:hint="eastAsia" w:eastAsia="仿宋_GB2312"/>
          <w:sz w:val="32"/>
          <w:szCs w:val="32"/>
          <w:lang w:eastAsia="zh-CN"/>
        </w:rPr>
        <w:t>单位</w:t>
      </w:r>
      <w:r>
        <w:rPr>
          <w:rFonts w:eastAsia="仿宋_GB2312"/>
          <w:sz w:val="32"/>
          <w:szCs w:val="32"/>
        </w:rPr>
        <w:t>对部门整体支出进行了绩效评价，现报告如下：</w:t>
      </w:r>
    </w:p>
    <w:p>
      <w:pPr>
        <w:numPr>
          <w:ilvl w:val="0"/>
          <w:numId w:val="0"/>
        </w:numPr>
        <w:ind w:firstLine="640" w:firstLineChars="200"/>
        <w:rPr>
          <w:rFonts w:hint="eastAsia" w:ascii="黑体" w:hAnsi="Times New Roman" w:eastAsia="黑体" w:cs="Times New Roman"/>
          <w:sz w:val="32"/>
          <w:szCs w:val="32"/>
        </w:rPr>
      </w:pPr>
      <w:r>
        <w:rPr>
          <w:rFonts w:hint="eastAsia" w:ascii="黑体" w:hAnsi="Times New Roman" w:eastAsia="黑体" w:cs="Times New Roman"/>
          <w:sz w:val="32"/>
          <w:szCs w:val="32"/>
          <w:lang w:eastAsia="zh-CN"/>
        </w:rPr>
        <w:t>一、</w:t>
      </w:r>
      <w:r>
        <w:rPr>
          <w:rFonts w:hint="eastAsia" w:ascii="黑体" w:hAnsi="Times New Roman" w:eastAsia="黑体" w:cs="Times New Roman"/>
          <w:sz w:val="32"/>
          <w:szCs w:val="32"/>
        </w:rPr>
        <w:t>部门（单位）基本情况</w:t>
      </w:r>
    </w:p>
    <w:p>
      <w:pPr>
        <w:widowControl/>
        <w:spacing w:line="600" w:lineRule="exact"/>
        <w:ind w:firstLine="630" w:firstLineChars="196"/>
        <w:jc w:val="left"/>
        <w:rPr>
          <w:rFonts w:eastAsia="楷体_GB2312"/>
          <w:b/>
          <w:snapToGrid w:val="0"/>
          <w:kern w:val="0"/>
          <w:sz w:val="32"/>
          <w:szCs w:val="32"/>
        </w:rPr>
      </w:pPr>
      <w:r>
        <w:rPr>
          <w:rFonts w:eastAsia="楷体_GB2312"/>
          <w:b/>
          <w:snapToGrid w:val="0"/>
          <w:kern w:val="0"/>
          <w:sz w:val="32"/>
          <w:szCs w:val="32"/>
        </w:rPr>
        <w:t>（一）部门职能职责</w:t>
      </w:r>
    </w:p>
    <w:p>
      <w:pPr>
        <w:spacing w:beforeLines="0" w:afterLines="0" w:line="520" w:lineRule="exact"/>
        <w:ind w:left="840" w:hanging="200"/>
        <w:rPr>
          <w:rFonts w:hint="eastAsia" w:ascii="仿宋" w:hAnsi="仿宋" w:eastAsia="仿宋"/>
          <w:sz w:val="32"/>
        </w:rPr>
      </w:pPr>
      <w:r>
        <w:rPr>
          <w:rFonts w:hint="eastAsia" w:ascii="仿宋" w:hAnsi="仿宋" w:eastAsia="仿宋"/>
          <w:sz w:val="32"/>
          <w:lang w:eastAsia="zh-CN"/>
        </w:rPr>
        <w:t>（</w:t>
      </w:r>
      <w:r>
        <w:rPr>
          <w:rFonts w:hint="eastAsia" w:ascii="仿宋" w:hAnsi="仿宋" w:eastAsia="仿宋"/>
          <w:sz w:val="32"/>
          <w:lang w:val="en-US" w:eastAsia="zh-CN"/>
        </w:rPr>
        <w:t>1</w:t>
      </w:r>
      <w:r>
        <w:rPr>
          <w:rFonts w:hint="eastAsia" w:ascii="仿宋" w:hAnsi="仿宋" w:eastAsia="仿宋"/>
          <w:sz w:val="32"/>
          <w:lang w:eastAsia="zh-CN"/>
        </w:rPr>
        <w:t>）</w:t>
      </w:r>
      <w:r>
        <w:rPr>
          <w:rFonts w:hint="eastAsia" w:ascii="仿宋" w:hAnsi="仿宋" w:eastAsia="仿宋"/>
          <w:sz w:val="32"/>
        </w:rPr>
        <w:t>为维护城市环境卫生提供管理保障；</w:t>
      </w:r>
    </w:p>
    <w:p>
      <w:pPr>
        <w:spacing w:beforeLines="0" w:afterLines="0" w:line="520" w:lineRule="exact"/>
        <w:ind w:left="840" w:hanging="200"/>
        <w:rPr>
          <w:rFonts w:hint="eastAsia" w:ascii="仿宋" w:hAnsi="仿宋" w:eastAsia="仿宋"/>
          <w:sz w:val="32"/>
        </w:rPr>
      </w:pPr>
      <w:r>
        <w:rPr>
          <w:rFonts w:hint="eastAsia" w:ascii="仿宋" w:hAnsi="仿宋" w:eastAsia="仿宋"/>
          <w:sz w:val="32"/>
          <w:lang w:eastAsia="zh-CN"/>
        </w:rPr>
        <w:t>（</w:t>
      </w:r>
      <w:r>
        <w:rPr>
          <w:rFonts w:hint="eastAsia" w:ascii="仿宋" w:hAnsi="仿宋" w:eastAsia="仿宋"/>
          <w:sz w:val="32"/>
          <w:lang w:val="en-US" w:eastAsia="zh-CN"/>
        </w:rPr>
        <w:t>2</w:t>
      </w:r>
      <w:r>
        <w:rPr>
          <w:rFonts w:hint="eastAsia" w:ascii="仿宋" w:hAnsi="仿宋" w:eastAsia="仿宋"/>
          <w:sz w:val="32"/>
          <w:lang w:eastAsia="zh-CN"/>
        </w:rPr>
        <w:t>）</w:t>
      </w:r>
      <w:r>
        <w:rPr>
          <w:rFonts w:hint="eastAsia" w:ascii="仿宋" w:hAnsi="仿宋" w:eastAsia="仿宋"/>
          <w:sz w:val="32"/>
        </w:rPr>
        <w:t>城市环境卫生设施建设、运营和维护；</w:t>
      </w:r>
    </w:p>
    <w:p>
      <w:pPr>
        <w:spacing w:beforeLines="0" w:afterLines="0" w:line="520" w:lineRule="exact"/>
        <w:ind w:left="840" w:hanging="200"/>
        <w:rPr>
          <w:rFonts w:hint="eastAsia" w:ascii="仿宋" w:hAnsi="仿宋" w:eastAsia="仿宋"/>
          <w:sz w:val="32"/>
        </w:rPr>
      </w:pPr>
      <w:r>
        <w:rPr>
          <w:rFonts w:hint="eastAsia" w:ascii="仿宋" w:hAnsi="仿宋" w:eastAsia="仿宋"/>
          <w:sz w:val="32"/>
          <w:lang w:eastAsia="zh-CN"/>
        </w:rPr>
        <w:t>（</w:t>
      </w:r>
      <w:r>
        <w:rPr>
          <w:rFonts w:hint="eastAsia" w:ascii="仿宋" w:hAnsi="仿宋" w:eastAsia="仿宋"/>
          <w:sz w:val="32"/>
          <w:lang w:val="en-US" w:eastAsia="zh-CN"/>
        </w:rPr>
        <w:t>3</w:t>
      </w:r>
      <w:r>
        <w:rPr>
          <w:rFonts w:hint="eastAsia" w:ascii="仿宋" w:hAnsi="仿宋" w:eastAsia="仿宋"/>
          <w:sz w:val="32"/>
          <w:lang w:eastAsia="zh-CN"/>
        </w:rPr>
        <w:t>）</w:t>
      </w:r>
      <w:r>
        <w:rPr>
          <w:rFonts w:hint="eastAsia" w:ascii="仿宋" w:hAnsi="仿宋" w:eastAsia="仿宋"/>
          <w:sz w:val="32"/>
        </w:rPr>
        <w:t>环境卫生监督作业管理（相关社会服务）。</w:t>
      </w:r>
    </w:p>
    <w:p>
      <w:pPr>
        <w:widowControl/>
        <w:spacing w:line="600" w:lineRule="exact"/>
        <w:ind w:firstLine="630" w:firstLineChars="196"/>
        <w:jc w:val="left"/>
        <w:rPr>
          <w:rFonts w:eastAsia="楷体_GB2312"/>
          <w:b/>
          <w:sz w:val="32"/>
          <w:szCs w:val="32"/>
        </w:rPr>
      </w:pPr>
      <w:bookmarkStart w:id="0" w:name="_GoBack"/>
      <w:bookmarkEnd w:id="0"/>
      <w:r>
        <w:rPr>
          <w:rFonts w:eastAsia="楷体_GB2312"/>
          <w:b/>
          <w:sz w:val="32"/>
          <w:szCs w:val="32"/>
        </w:rPr>
        <w:t>（二）机构设置情况</w:t>
      </w:r>
    </w:p>
    <w:p>
      <w:pPr>
        <w:spacing w:beforeLines="0" w:afterLines="0" w:line="520" w:lineRule="exact"/>
        <w:ind w:firstLine="640"/>
        <w:rPr>
          <w:rFonts w:hint="eastAsia" w:ascii="仿宋" w:hAnsi="仿宋" w:eastAsia="仿宋"/>
          <w:sz w:val="32"/>
        </w:rPr>
      </w:pPr>
      <w:r>
        <w:rPr>
          <w:rFonts w:hint="eastAsia" w:ascii="仿宋" w:hAnsi="仿宋" w:eastAsia="仿宋"/>
          <w:sz w:val="32"/>
        </w:rPr>
        <w:t>20</w:t>
      </w:r>
      <w:r>
        <w:rPr>
          <w:rFonts w:hint="eastAsia" w:ascii="仿宋" w:hAnsi="仿宋" w:eastAsia="仿宋"/>
          <w:sz w:val="32"/>
          <w:lang w:val="en-US" w:eastAsia="zh-CN"/>
        </w:rPr>
        <w:t>19</w:t>
      </w:r>
      <w:r>
        <w:rPr>
          <w:rFonts w:hint="eastAsia" w:ascii="仿宋" w:hAnsi="仿宋" w:eastAsia="仿宋"/>
          <w:sz w:val="32"/>
        </w:rPr>
        <w:t>年本单位机构改革，由原衡阳市南岳区环境卫生管理局变更为南岳区环境卫生所，确定为财政全额拨款公益一类事业单位。内设股室</w:t>
      </w:r>
      <w:r>
        <w:rPr>
          <w:rFonts w:hint="eastAsia" w:ascii="仿宋" w:hAnsi="仿宋" w:eastAsia="仿宋"/>
          <w:sz w:val="32"/>
          <w:lang w:val="en-US" w:eastAsia="zh-CN"/>
        </w:rPr>
        <w:t>7</w:t>
      </w:r>
      <w:r>
        <w:rPr>
          <w:rFonts w:hint="eastAsia" w:ascii="仿宋" w:hAnsi="仿宋" w:eastAsia="仿宋"/>
          <w:sz w:val="32"/>
        </w:rPr>
        <w:t>个，分别是办公室、基础设施建设股、财务室、行业管理股、</w:t>
      </w:r>
      <w:r>
        <w:rPr>
          <w:rFonts w:hint="eastAsia" w:ascii="仿宋" w:hAnsi="仿宋" w:eastAsia="仿宋"/>
          <w:sz w:val="32"/>
          <w:lang w:eastAsia="zh-CN"/>
        </w:rPr>
        <w:t>综合管理股、驻南岳镇环卫站、区</w:t>
      </w:r>
      <w:r>
        <w:rPr>
          <w:rFonts w:hint="eastAsia" w:ascii="仿宋" w:hAnsi="仿宋" w:eastAsia="仿宋"/>
          <w:sz w:val="32"/>
        </w:rPr>
        <w:t>生活垃圾中转站。</w:t>
      </w:r>
    </w:p>
    <w:p>
      <w:pPr>
        <w:widowControl/>
        <w:spacing w:line="600" w:lineRule="exact"/>
        <w:ind w:firstLine="630" w:firstLineChars="196"/>
        <w:jc w:val="left"/>
        <w:rPr>
          <w:rFonts w:eastAsia="楷体_GB2312"/>
          <w:b/>
          <w:sz w:val="32"/>
          <w:szCs w:val="32"/>
        </w:rPr>
      </w:pPr>
      <w:r>
        <w:rPr>
          <w:rFonts w:eastAsia="楷体_GB2312"/>
          <w:b/>
          <w:sz w:val="32"/>
          <w:szCs w:val="32"/>
        </w:rPr>
        <w:t>（三）人员编制情况</w:t>
      </w:r>
    </w:p>
    <w:p>
      <w:pPr>
        <w:widowControl/>
        <w:snapToGrid/>
        <w:spacing w:line="600" w:lineRule="exact"/>
        <w:ind w:firstLine="640" w:firstLineChars="200"/>
        <w:rPr>
          <w:rFonts w:hint="eastAsia" w:ascii="黑体" w:hAnsi="Times New Roman" w:eastAsia="黑体" w:cs="Times New Roman"/>
          <w:sz w:val="32"/>
          <w:szCs w:val="32"/>
        </w:rPr>
      </w:pPr>
      <w:r>
        <w:rPr>
          <w:rFonts w:eastAsia="仿宋_GB2312"/>
          <w:sz w:val="32"/>
          <w:szCs w:val="32"/>
        </w:rPr>
        <w:t>20</w:t>
      </w:r>
      <w:r>
        <w:rPr>
          <w:rFonts w:hint="eastAsia" w:eastAsia="仿宋_GB2312"/>
          <w:sz w:val="32"/>
          <w:szCs w:val="32"/>
          <w:lang w:val="en-US" w:eastAsia="zh-CN"/>
        </w:rPr>
        <w:t>22</w:t>
      </w:r>
      <w:r>
        <w:rPr>
          <w:rFonts w:eastAsia="仿宋_GB2312"/>
          <w:sz w:val="32"/>
          <w:szCs w:val="32"/>
        </w:rPr>
        <w:t>年末，我单位共有编制</w:t>
      </w:r>
      <w:r>
        <w:rPr>
          <w:rFonts w:hint="eastAsia" w:eastAsia="仿宋_GB2312"/>
          <w:sz w:val="32"/>
          <w:szCs w:val="32"/>
          <w:lang w:val="en-US" w:eastAsia="zh-CN"/>
        </w:rPr>
        <w:t>22</w:t>
      </w:r>
      <w:r>
        <w:rPr>
          <w:rFonts w:eastAsia="仿宋_GB2312"/>
          <w:sz w:val="32"/>
          <w:szCs w:val="32"/>
        </w:rPr>
        <w:t>人，</w:t>
      </w:r>
      <w:r>
        <w:rPr>
          <w:rFonts w:eastAsia="仿宋_GB2312"/>
          <w:bCs/>
          <w:kern w:val="0"/>
          <w:sz w:val="32"/>
          <w:szCs w:val="32"/>
        </w:rPr>
        <w:t>搬迁安置</w:t>
      </w:r>
      <w:r>
        <w:rPr>
          <w:rFonts w:hint="eastAsia" w:eastAsia="仿宋_GB2312"/>
          <w:bCs/>
          <w:kern w:val="0"/>
          <w:sz w:val="32"/>
          <w:szCs w:val="32"/>
          <w:lang w:val="en-US" w:eastAsia="zh-CN"/>
        </w:rPr>
        <w:t>32</w:t>
      </w:r>
      <w:r>
        <w:rPr>
          <w:rFonts w:eastAsia="仿宋_GB2312"/>
          <w:bCs/>
          <w:kern w:val="0"/>
          <w:sz w:val="32"/>
          <w:szCs w:val="32"/>
        </w:rPr>
        <w:t>人</w:t>
      </w:r>
      <w:r>
        <w:rPr>
          <w:rFonts w:hint="eastAsia" w:eastAsia="仿宋_GB2312"/>
          <w:bCs/>
          <w:kern w:val="0"/>
          <w:sz w:val="32"/>
          <w:szCs w:val="32"/>
          <w:lang w:eastAsia="zh-CN"/>
        </w:rPr>
        <w:t>，</w:t>
      </w:r>
      <w:r>
        <w:rPr>
          <w:rFonts w:eastAsia="仿宋_GB2312"/>
          <w:sz w:val="32"/>
          <w:szCs w:val="32"/>
        </w:rPr>
        <w:t>其</w:t>
      </w:r>
      <w:r>
        <w:rPr>
          <w:rFonts w:hint="eastAsia" w:eastAsia="仿宋_GB2312"/>
          <w:sz w:val="32"/>
          <w:szCs w:val="32"/>
          <w:lang w:eastAsia="zh-CN"/>
        </w:rPr>
        <w:t>中</w:t>
      </w:r>
      <w:r>
        <w:rPr>
          <w:rFonts w:eastAsia="仿宋_GB2312"/>
          <w:sz w:val="32"/>
          <w:szCs w:val="32"/>
        </w:rPr>
        <w:t>事业编制</w:t>
      </w:r>
      <w:r>
        <w:rPr>
          <w:rFonts w:hint="eastAsia" w:eastAsia="仿宋_GB2312"/>
          <w:sz w:val="32"/>
          <w:szCs w:val="32"/>
          <w:lang w:val="en-US" w:eastAsia="zh-CN"/>
        </w:rPr>
        <w:t>22</w:t>
      </w:r>
      <w:r>
        <w:rPr>
          <w:rFonts w:eastAsia="仿宋_GB2312"/>
          <w:sz w:val="32"/>
          <w:szCs w:val="32"/>
        </w:rPr>
        <w:t>人。年末实有在职人员</w:t>
      </w:r>
      <w:r>
        <w:rPr>
          <w:rFonts w:hint="eastAsia" w:eastAsia="仿宋_GB2312"/>
          <w:sz w:val="32"/>
          <w:szCs w:val="32"/>
          <w:lang w:val="en-US" w:eastAsia="zh-CN"/>
        </w:rPr>
        <w:t>54</w:t>
      </w:r>
      <w:r>
        <w:rPr>
          <w:rFonts w:eastAsia="仿宋_GB2312"/>
          <w:sz w:val="32"/>
          <w:szCs w:val="32"/>
        </w:rPr>
        <w:t>人，离休人员</w:t>
      </w:r>
      <w:r>
        <w:rPr>
          <w:rFonts w:hint="eastAsia" w:eastAsia="仿宋_GB2312"/>
          <w:sz w:val="32"/>
          <w:szCs w:val="32"/>
          <w:lang w:val="en-US" w:eastAsia="zh-CN"/>
        </w:rPr>
        <w:t>46</w:t>
      </w:r>
      <w:r>
        <w:rPr>
          <w:rFonts w:eastAsia="仿宋_GB2312"/>
          <w:sz w:val="32"/>
          <w:szCs w:val="32"/>
        </w:rPr>
        <w:t>人。</w:t>
      </w:r>
    </w:p>
    <w:p>
      <w:pPr>
        <w:widowControl/>
        <w:numPr>
          <w:ilvl w:val="0"/>
          <w:numId w:val="1"/>
        </w:num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一般公共预算支出情况</w:t>
      </w:r>
    </w:p>
    <w:p>
      <w:pPr>
        <w:widowControl/>
        <w:numPr>
          <w:ilvl w:val="0"/>
          <w:numId w:val="0"/>
        </w:numPr>
        <w:spacing w:line="600" w:lineRule="exact"/>
        <w:ind w:firstLine="643" w:firstLineChars="200"/>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rPr>
        <w:t>（一）基本支出情况</w:t>
      </w:r>
    </w:p>
    <w:p>
      <w:pPr>
        <w:tabs>
          <w:tab w:val="left" w:pos="2296"/>
        </w:tabs>
        <w:spacing w:line="600" w:lineRule="exact"/>
        <w:ind w:firstLine="640" w:firstLineChars="200"/>
        <w:rPr>
          <w:rFonts w:eastAsia="仿宋_GB2312"/>
          <w:sz w:val="32"/>
          <w:szCs w:val="32"/>
        </w:rPr>
      </w:pPr>
      <w:r>
        <w:rPr>
          <w:rFonts w:eastAsia="仿宋_GB2312"/>
          <w:sz w:val="32"/>
          <w:szCs w:val="32"/>
        </w:rPr>
        <w:t>基本支出系保障我机构正常运转、完成日常工作任务而发生的各项支出，包括用于在职人员基本工资、津贴补贴等人员经费以及办公费、印刷费、水电费、办公设备购置等日常公用经费。20</w:t>
      </w:r>
      <w:r>
        <w:rPr>
          <w:rFonts w:hint="eastAsia" w:eastAsia="仿宋_GB2312"/>
          <w:sz w:val="32"/>
          <w:szCs w:val="32"/>
          <w:lang w:val="en-US" w:eastAsia="zh-CN"/>
        </w:rPr>
        <w:t>22</w:t>
      </w:r>
      <w:r>
        <w:rPr>
          <w:rFonts w:eastAsia="仿宋_GB2312"/>
          <w:sz w:val="32"/>
          <w:szCs w:val="32"/>
        </w:rPr>
        <w:t>年基本支出</w:t>
      </w:r>
      <w:r>
        <w:rPr>
          <w:rFonts w:hint="eastAsia" w:eastAsia="仿宋_GB2312"/>
          <w:sz w:val="32"/>
          <w:szCs w:val="32"/>
          <w:lang w:val="en-US" w:eastAsia="zh-CN"/>
        </w:rPr>
        <w:t>901.45</w:t>
      </w:r>
      <w:r>
        <w:rPr>
          <w:rFonts w:eastAsia="仿宋_GB2312"/>
          <w:sz w:val="32"/>
          <w:szCs w:val="32"/>
        </w:rPr>
        <w:t>万元，较上年</w:t>
      </w:r>
      <w:r>
        <w:rPr>
          <w:rFonts w:hint="eastAsia" w:eastAsia="仿宋_GB2312"/>
          <w:sz w:val="32"/>
          <w:szCs w:val="32"/>
          <w:lang w:eastAsia="zh-CN"/>
        </w:rPr>
        <w:t>增加</w:t>
      </w:r>
      <w:r>
        <w:rPr>
          <w:rFonts w:hint="eastAsia" w:eastAsia="仿宋_GB2312"/>
          <w:sz w:val="32"/>
          <w:szCs w:val="32"/>
          <w:lang w:val="en-US" w:eastAsia="zh-CN"/>
        </w:rPr>
        <w:t>50.54</w:t>
      </w:r>
      <w:r>
        <w:rPr>
          <w:rFonts w:eastAsia="仿宋_GB2312"/>
          <w:sz w:val="32"/>
          <w:szCs w:val="32"/>
        </w:rPr>
        <w:t>万元</w:t>
      </w:r>
      <w:r>
        <w:rPr>
          <w:rFonts w:hint="eastAsia" w:eastAsia="仿宋_GB2312"/>
          <w:sz w:val="32"/>
          <w:szCs w:val="32"/>
          <w:lang w:eastAsia="zh-CN"/>
        </w:rPr>
        <w:t>，增加的原因是</w:t>
      </w:r>
      <w:r>
        <w:rPr>
          <w:rFonts w:hint="eastAsia" w:eastAsia="仿宋_GB2312"/>
          <w:sz w:val="32"/>
          <w:szCs w:val="32"/>
          <w:lang w:val="en-US" w:eastAsia="zh-CN"/>
        </w:rPr>
        <w:t>2022年9月发放了事业单位当年绩效考核奖，以往都是次年才发放。</w:t>
      </w:r>
      <w:r>
        <w:rPr>
          <w:rFonts w:eastAsia="仿宋_GB2312"/>
          <w:color w:val="000000"/>
          <w:sz w:val="32"/>
          <w:szCs w:val="32"/>
        </w:rPr>
        <w:t>基本支出中人员经费</w:t>
      </w:r>
      <w:r>
        <w:rPr>
          <w:rFonts w:hint="eastAsia" w:eastAsia="仿宋_GB2312"/>
          <w:color w:val="000000"/>
          <w:sz w:val="32"/>
          <w:szCs w:val="32"/>
          <w:lang w:val="en-US" w:eastAsia="zh-CN"/>
        </w:rPr>
        <w:t>822.77</w:t>
      </w:r>
      <w:r>
        <w:rPr>
          <w:rFonts w:eastAsia="仿宋_GB2312"/>
          <w:color w:val="000000"/>
          <w:sz w:val="32"/>
          <w:szCs w:val="32"/>
        </w:rPr>
        <w:t>万元，占基本支出的</w:t>
      </w:r>
      <w:r>
        <w:rPr>
          <w:rFonts w:hint="eastAsia" w:eastAsia="仿宋_GB2312"/>
          <w:color w:val="000000"/>
          <w:sz w:val="32"/>
          <w:szCs w:val="32"/>
          <w:lang w:val="en-US" w:eastAsia="zh-CN"/>
        </w:rPr>
        <w:t>91</w:t>
      </w:r>
      <w:r>
        <w:rPr>
          <w:rFonts w:eastAsia="仿宋_GB2312"/>
          <w:color w:val="000000"/>
          <w:sz w:val="32"/>
          <w:szCs w:val="32"/>
        </w:rPr>
        <w:t>%，</w:t>
      </w:r>
      <w:r>
        <w:rPr>
          <w:rFonts w:hint="eastAsia" w:eastAsia="仿宋_GB2312"/>
          <w:color w:val="000000"/>
          <w:sz w:val="32"/>
          <w:szCs w:val="32"/>
          <w:lang w:eastAsia="zh-CN"/>
        </w:rPr>
        <w:t>与上年基本持平；</w:t>
      </w:r>
      <w:r>
        <w:rPr>
          <w:rFonts w:eastAsia="仿宋_GB2312"/>
          <w:color w:val="000000"/>
          <w:sz w:val="32"/>
          <w:szCs w:val="32"/>
        </w:rPr>
        <w:t>日常公用经费</w:t>
      </w:r>
      <w:r>
        <w:rPr>
          <w:rFonts w:hint="eastAsia" w:eastAsia="仿宋_GB2312"/>
          <w:color w:val="000000"/>
          <w:sz w:val="32"/>
          <w:szCs w:val="32"/>
          <w:lang w:val="en-US" w:eastAsia="zh-CN"/>
        </w:rPr>
        <w:t>78.68</w:t>
      </w:r>
      <w:r>
        <w:rPr>
          <w:rFonts w:eastAsia="仿宋_GB2312"/>
          <w:color w:val="000000"/>
          <w:sz w:val="32"/>
          <w:szCs w:val="32"/>
        </w:rPr>
        <w:t>万元，占基本支出的</w:t>
      </w:r>
      <w:r>
        <w:rPr>
          <w:rFonts w:hint="eastAsia" w:eastAsia="仿宋_GB2312"/>
          <w:color w:val="000000"/>
          <w:sz w:val="32"/>
          <w:szCs w:val="32"/>
          <w:lang w:val="en-US" w:eastAsia="zh-CN"/>
        </w:rPr>
        <w:t>9</w:t>
      </w:r>
      <w:r>
        <w:rPr>
          <w:rFonts w:eastAsia="仿宋_GB2312"/>
          <w:color w:val="000000"/>
          <w:sz w:val="32"/>
          <w:szCs w:val="32"/>
        </w:rPr>
        <w:t>%，</w:t>
      </w:r>
      <w:r>
        <w:rPr>
          <w:rFonts w:hint="eastAsia" w:eastAsia="仿宋_GB2312"/>
          <w:color w:val="000000"/>
          <w:sz w:val="32"/>
          <w:szCs w:val="32"/>
          <w:lang w:eastAsia="zh-CN"/>
        </w:rPr>
        <w:t>比去年减少</w:t>
      </w:r>
      <w:r>
        <w:rPr>
          <w:rFonts w:hint="eastAsia" w:eastAsia="仿宋_GB2312"/>
          <w:color w:val="000000"/>
          <w:sz w:val="32"/>
          <w:szCs w:val="32"/>
          <w:lang w:val="en-US" w:eastAsia="zh-CN"/>
        </w:rPr>
        <w:t>0.8%</w:t>
      </w:r>
      <w:r>
        <w:rPr>
          <w:rFonts w:hint="eastAsia" w:eastAsia="仿宋_GB2312"/>
          <w:color w:val="000000"/>
          <w:sz w:val="32"/>
          <w:szCs w:val="32"/>
          <w:lang w:eastAsia="zh-CN"/>
        </w:rPr>
        <w:t>，主要原因是</w:t>
      </w:r>
      <w:r>
        <w:rPr>
          <w:rFonts w:hint="eastAsia" w:eastAsia="仿宋_GB2312"/>
          <w:color w:val="000000"/>
          <w:sz w:val="32"/>
          <w:szCs w:val="32"/>
          <w:lang w:val="en-US" w:eastAsia="zh-CN"/>
        </w:rPr>
        <w:t>受疫情影响和压减非重点、刚性支出要求，我单位厉行节约、严格把关，严控三公经费支出，大力压减公用经费支出。</w:t>
      </w:r>
    </w:p>
    <w:p>
      <w:pPr>
        <w:widowControl/>
        <w:spacing w:line="600" w:lineRule="exact"/>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（二）</w:t>
      </w:r>
      <w:r>
        <w:rPr>
          <w:rFonts w:ascii="楷体_GB2312" w:hAnsi="Times New Roman" w:eastAsia="楷体_GB2312" w:cs="Times New Roman"/>
          <w:b/>
          <w:sz w:val="32"/>
          <w:szCs w:val="32"/>
        </w:rPr>
        <w:t>项目支出情况</w:t>
      </w:r>
    </w:p>
    <w:p>
      <w:pPr>
        <w:tabs>
          <w:tab w:val="left" w:pos="2296"/>
        </w:tabs>
        <w:spacing w:line="600" w:lineRule="exact"/>
        <w:ind w:firstLine="640" w:firstLineChars="200"/>
        <w:rPr>
          <w:rFonts w:ascii="Times New Roman" w:hAnsi="Times New Roman" w:eastAsia="仿宋_GB2312" w:cs="Times New Roman"/>
          <w:sz w:val="32"/>
          <w:szCs w:val="32"/>
        </w:rPr>
      </w:pPr>
      <w:r>
        <w:rPr>
          <w:rFonts w:eastAsia="仿宋_GB2312"/>
          <w:sz w:val="32"/>
          <w:szCs w:val="32"/>
        </w:rPr>
        <w:t>项目支出系我</w:t>
      </w:r>
      <w:r>
        <w:rPr>
          <w:rFonts w:hint="eastAsia" w:eastAsia="仿宋_GB2312"/>
          <w:sz w:val="32"/>
          <w:szCs w:val="32"/>
          <w:lang w:eastAsia="zh-CN"/>
        </w:rPr>
        <w:t>单位</w:t>
      </w:r>
      <w:r>
        <w:rPr>
          <w:rFonts w:eastAsia="仿宋_GB2312"/>
          <w:sz w:val="32"/>
          <w:szCs w:val="32"/>
        </w:rPr>
        <w:t>为完成</w:t>
      </w:r>
      <w:r>
        <w:rPr>
          <w:rFonts w:hint="eastAsia" w:eastAsia="仿宋_GB2312"/>
          <w:sz w:val="32"/>
          <w:szCs w:val="32"/>
          <w:lang w:eastAsia="zh-CN"/>
        </w:rPr>
        <w:t>环卫</w:t>
      </w:r>
      <w:r>
        <w:rPr>
          <w:rFonts w:eastAsia="仿宋_GB2312"/>
          <w:sz w:val="32"/>
          <w:szCs w:val="32"/>
        </w:rPr>
        <w:t>管理工作而发生的支出，包括业务工作经费和运行维护经费。业务工作经费支出主要用于</w:t>
      </w:r>
      <w:r>
        <w:rPr>
          <w:rFonts w:hint="eastAsia" w:eastAsia="仿宋_GB2312"/>
          <w:sz w:val="32"/>
          <w:szCs w:val="32"/>
          <w:lang w:eastAsia="zh-CN"/>
        </w:rPr>
        <w:t>环卫城区环境卫生外包服务、政府采购</w:t>
      </w:r>
      <w:r>
        <w:rPr>
          <w:rFonts w:eastAsia="仿宋_GB2312"/>
          <w:sz w:val="32"/>
          <w:szCs w:val="32"/>
        </w:rPr>
        <w:t>等全</w:t>
      </w:r>
      <w:r>
        <w:rPr>
          <w:rFonts w:hint="eastAsia" w:eastAsia="仿宋_GB2312"/>
          <w:sz w:val="32"/>
          <w:szCs w:val="32"/>
          <w:lang w:eastAsia="zh-CN"/>
        </w:rPr>
        <w:t>区性项目的运行</w:t>
      </w:r>
      <w:r>
        <w:rPr>
          <w:rFonts w:eastAsia="仿宋_GB2312"/>
          <w:sz w:val="32"/>
          <w:szCs w:val="32"/>
        </w:rPr>
        <w:t>等方面。20</w:t>
      </w:r>
      <w:r>
        <w:rPr>
          <w:rFonts w:hint="eastAsia" w:eastAsia="仿宋_GB2312"/>
          <w:sz w:val="32"/>
          <w:szCs w:val="32"/>
          <w:lang w:val="en-US" w:eastAsia="zh-CN"/>
        </w:rPr>
        <w:t>22</w:t>
      </w:r>
      <w:r>
        <w:rPr>
          <w:rFonts w:eastAsia="仿宋_GB2312"/>
          <w:sz w:val="32"/>
          <w:szCs w:val="32"/>
        </w:rPr>
        <w:t>年项目支出</w:t>
      </w:r>
      <w:r>
        <w:rPr>
          <w:rFonts w:hint="eastAsia" w:ascii="仿宋_GB2312" w:hAnsi="仿宋" w:eastAsia="仿宋_GB2312"/>
          <w:sz w:val="32"/>
          <w:szCs w:val="32"/>
          <w:lang w:val="en-US" w:eastAsia="zh-CN"/>
        </w:rPr>
        <w:t>2333.08</w:t>
      </w:r>
      <w:r>
        <w:rPr>
          <w:rFonts w:eastAsia="仿宋_GB2312"/>
          <w:sz w:val="32"/>
          <w:szCs w:val="32"/>
        </w:rPr>
        <w:t>万元，比上年</w:t>
      </w:r>
      <w:r>
        <w:rPr>
          <w:rFonts w:hint="eastAsia" w:eastAsia="仿宋_GB2312"/>
          <w:sz w:val="32"/>
          <w:szCs w:val="32"/>
          <w:lang w:eastAsia="zh-CN"/>
        </w:rPr>
        <w:t>增加</w:t>
      </w:r>
      <w:r>
        <w:rPr>
          <w:rFonts w:hint="eastAsia" w:eastAsia="仿宋_GB2312"/>
          <w:sz w:val="32"/>
          <w:szCs w:val="32"/>
          <w:lang w:val="en-US" w:eastAsia="zh-CN"/>
        </w:rPr>
        <w:t>114.16</w:t>
      </w:r>
      <w:r>
        <w:rPr>
          <w:rFonts w:eastAsia="仿宋_GB2312"/>
          <w:sz w:val="32"/>
          <w:szCs w:val="32"/>
        </w:rPr>
        <w:t>万元</w:t>
      </w:r>
      <w:r>
        <w:rPr>
          <w:rFonts w:hint="eastAsia" w:eastAsia="仿宋_GB2312"/>
          <w:sz w:val="32"/>
          <w:szCs w:val="32"/>
          <w:lang w:eastAsia="zh-CN"/>
        </w:rPr>
        <w:t>，</w:t>
      </w:r>
      <w:r>
        <w:rPr>
          <w:rFonts w:eastAsia="仿宋_GB2312"/>
          <w:sz w:val="32"/>
          <w:szCs w:val="32"/>
        </w:rPr>
        <w:t>主要是</w:t>
      </w:r>
      <w:r>
        <w:rPr>
          <w:rFonts w:hint="eastAsia" w:eastAsia="仿宋_GB2312"/>
          <w:sz w:val="32"/>
          <w:szCs w:val="32"/>
          <w:lang w:eastAsia="zh-CN"/>
        </w:rPr>
        <w:t>由于全区实行垃圾分类工作、餐厨垃圾收运工作等，单位业务工作增加导致。</w:t>
      </w:r>
    </w:p>
    <w:p>
      <w:pPr>
        <w:widowControl/>
        <w:numPr>
          <w:ilvl w:val="0"/>
          <w:numId w:val="1"/>
        </w:numPr>
        <w:spacing w:line="600" w:lineRule="exact"/>
        <w:ind w:left="0" w:leftChars="0"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部门整体支出绩效情况</w:t>
      </w:r>
    </w:p>
    <w:p>
      <w:pPr>
        <w:spacing w:beforeLines="0" w:afterLines="0" w:line="520" w:lineRule="exact"/>
        <w:ind w:firstLine="640"/>
      </w:pPr>
      <w:r>
        <w:rPr>
          <w:rFonts w:hint="eastAsia" w:ascii="仿宋" w:hAnsi="仿宋" w:eastAsia="仿宋"/>
          <w:sz w:val="32"/>
          <w:lang w:val="en-US" w:eastAsia="zh-CN"/>
        </w:rPr>
        <w:t>2022</w:t>
      </w:r>
      <w:r>
        <w:rPr>
          <w:rFonts w:hint="eastAsia" w:ascii="仿宋" w:hAnsi="仿宋" w:eastAsia="仿宋"/>
          <w:sz w:val="32"/>
          <w:lang w:val="en-US"/>
        </w:rPr>
        <w:t>年度本单位主要完成以下工作：</w:t>
      </w:r>
    </w:p>
    <w:p>
      <w:pPr>
        <w:pBdr>
          <w:bottom w:val="single" w:color="FFFFFF" w:sz="4" w:space="15"/>
        </w:pBdr>
        <w:autoSpaceDE w:val="0"/>
        <w:autoSpaceDN w:val="0"/>
        <w:adjustRightInd w:val="0"/>
        <w:snapToGrid w:val="0"/>
        <w:spacing w:line="560" w:lineRule="exact"/>
        <w:ind w:firstLine="643" w:firstLineChars="200"/>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bCs/>
          <w:color w:val="000000"/>
          <w:sz w:val="32"/>
          <w:szCs w:val="32"/>
        </w:rPr>
        <w:t>一</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color w:val="000000"/>
          <w:sz w:val="32"/>
          <w:szCs w:val="32"/>
        </w:rPr>
        <w:t>建立完善环卫标准化工作体系。</w:t>
      </w:r>
      <w:r>
        <w:rPr>
          <w:rFonts w:hint="eastAsia" w:ascii="仿宋_GB2312" w:hAnsi="仿宋_GB2312" w:eastAsia="仿宋_GB2312" w:cs="仿宋_GB2312"/>
          <w:color w:val="000000"/>
          <w:sz w:val="32"/>
          <w:szCs w:val="32"/>
        </w:rPr>
        <w:t>制定并出台《南岳区环境卫生所关于开展城乡治理标准化工作的实施方案》《南岳区环境卫生所城乡治理标准化标准内容》，进一步规范化、精细化环卫“7个方面21项工作标准内容”，推出环卫“四更新标准”。同时，对照《南岳区环境卫生所城乡治理标准化工作任务分解表》要求，深入推进“网格化”管理。</w:t>
      </w:r>
    </w:p>
    <w:p>
      <w:pPr>
        <w:pBdr>
          <w:bottom w:val="single" w:color="FFFFFF" w:sz="4" w:space="15"/>
        </w:pBdr>
        <w:autoSpaceDE w:val="0"/>
        <w:autoSpaceDN w:val="0"/>
        <w:adjustRightInd w:val="0"/>
        <w:snapToGrid w:val="0"/>
        <w:spacing w:line="560" w:lineRule="exact"/>
        <w:ind w:firstLine="643" w:firstLineChars="200"/>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sz w:val="32"/>
          <w:szCs w:val="32"/>
        </w:rPr>
        <w:t>二</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严格督查考核。</w:t>
      </w:r>
      <w:r>
        <w:rPr>
          <w:rFonts w:hint="eastAsia" w:ascii="仿宋_GB2312" w:hAnsi="仿宋_GB2312" w:eastAsia="仿宋_GB2312" w:cs="仿宋_GB2312"/>
          <w:sz w:val="32"/>
          <w:szCs w:val="32"/>
        </w:rPr>
        <w:t>按照《南岳区城区环境卫生作业规范和质量标准》和《南岳区城区环境卫生管理考评办法》，就城区</w:t>
      </w:r>
      <w:r>
        <w:rPr>
          <w:rFonts w:hint="eastAsia" w:ascii="仿宋_GB2312" w:hAnsi="仿宋_GB2312" w:eastAsia="仿宋_GB2312" w:cs="仿宋_GB2312"/>
          <w:bCs/>
          <w:sz w:val="32"/>
          <w:szCs w:val="32"/>
        </w:rPr>
        <w:t>清扫保洁、清洗清运、洒水降尘、公厕河道管理等工作，</w:t>
      </w:r>
      <w:r>
        <w:rPr>
          <w:rFonts w:hint="eastAsia" w:ascii="仿宋_GB2312" w:hAnsi="仿宋_GB2312" w:eastAsia="仿宋_GB2312" w:cs="仿宋_GB2312"/>
          <w:sz w:val="32"/>
          <w:szCs w:val="32"/>
        </w:rPr>
        <w:t>对环卫服务企业奇岭公司进行严格的督查考核，利用信息平台及时反馈督查中发现的问题，要求限时整改到位，复查整改结果，确保工作落实；每月对公司员工人数、签订《劳动合同》、解聘人员手续和社保缴纳、税费缴纳等情况进行督查。每月出台考核督查通报，1-12月共查处各类问题5024起，整改4493起，扣分531起，扣分1261分。</w:t>
      </w:r>
      <w:r>
        <w:rPr>
          <w:rFonts w:hint="eastAsia" w:ascii="仿宋_GB2312" w:hAnsi="仿宋_GB2312" w:eastAsia="仿宋_GB2312" w:cs="仿宋_GB2312"/>
          <w:color w:val="000000"/>
          <w:sz w:val="32"/>
          <w:szCs w:val="32"/>
        </w:rPr>
        <w:t>考核</w:t>
      </w:r>
      <w:r>
        <w:rPr>
          <w:rFonts w:hint="eastAsia" w:ascii="仿宋_GB2312" w:hAnsi="仿宋_GB2312" w:eastAsia="仿宋_GB2312" w:cs="仿宋_GB2312"/>
          <w:sz w:val="32"/>
          <w:szCs w:val="32"/>
        </w:rPr>
        <w:t>罚款直接由区财政从当月承包经费中扣除。</w:t>
      </w:r>
    </w:p>
    <w:p>
      <w:pPr>
        <w:pBdr>
          <w:bottom w:val="single" w:color="FFFFFF" w:sz="4" w:space="15"/>
        </w:pBdr>
        <w:autoSpaceDE w:val="0"/>
        <w:autoSpaceDN w:val="0"/>
        <w:adjustRightInd w:val="0"/>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lang w:eastAsia="zh-CN"/>
        </w:rPr>
        <w:t>三、</w:t>
      </w:r>
      <w:r>
        <w:rPr>
          <w:rFonts w:hint="eastAsia" w:ascii="仿宋_GB2312" w:hAnsi="仿宋_GB2312" w:eastAsia="仿宋_GB2312" w:cs="仿宋_GB2312"/>
          <w:b/>
          <w:color w:val="000000"/>
          <w:sz w:val="32"/>
          <w:szCs w:val="32"/>
        </w:rPr>
        <w:t>完善环卫设施。</w:t>
      </w:r>
      <w:r>
        <w:rPr>
          <w:rFonts w:hint="eastAsia" w:ascii="仿宋_GB2312" w:hAnsi="仿宋_GB2312" w:eastAsia="仿宋_GB2312" w:cs="仿宋_GB2312"/>
          <w:color w:val="000000"/>
          <w:sz w:val="32"/>
          <w:szCs w:val="32"/>
        </w:rPr>
        <w:t>按照创文工作标准、城乡治理标准化工作要求，更新环卫设施设备。①强化城市驿站管理，在游客服务中心和衡山路完小对面建设、管理2座城市驿站，为户外工作人员、劳动者提供一个方便的“歇脚地”；②对城区公厕进行提质改建，在万寿广场公厕更新升级母婴室，新添置了婴儿床、热水系统、屏风、凳子和婴儿纸尿裤；在迎宾公厕门口处设置残疾人通道；在城区根据生活垃圾量，合理增设垃圾桶；</w:t>
      </w:r>
      <w:r>
        <w:rPr>
          <w:rFonts w:hint="eastAsia" w:ascii="仿宋_GB2312" w:hAnsi="仿宋_GB2312" w:eastAsia="仿宋_GB2312" w:cs="仿宋_GB2312"/>
          <w:sz w:val="32"/>
          <w:szCs w:val="32"/>
        </w:rPr>
        <w:t>根据市委统一部署、经区委宣传部安排，按程序采购30座移动公厕，为电影拍摄基地演艺人员提供如厕方便；③更换移动斗，</w:t>
      </w:r>
      <w:r>
        <w:rPr>
          <w:rFonts w:hint="eastAsia" w:ascii="仿宋_GB2312" w:hAnsi="仿宋_GB2312" w:eastAsia="仿宋_GB2312" w:cs="仿宋_GB2312"/>
          <w:color w:val="000000"/>
          <w:sz w:val="32"/>
          <w:szCs w:val="32"/>
        </w:rPr>
        <w:t>依法依规按程序采购移动斗50个，用于更换城区破损的移动斗。</w:t>
      </w:r>
      <w:r>
        <w:rPr>
          <w:rFonts w:hint="eastAsia" w:ascii="仿宋_GB2312" w:hAnsi="仿宋_GB2312" w:eastAsia="仿宋_GB2312" w:cs="仿宋_GB2312"/>
          <w:sz w:val="32"/>
          <w:szCs w:val="32"/>
        </w:rPr>
        <w:t>同时，为确保达到中央、省、市环保工作要求，更好地做好疫情防控相关工作，按程序采购3吨除臭药剂，以缓解中转站内刺激性气味，保障垃圾中</w:t>
      </w:r>
      <w:r>
        <w:rPr>
          <w:rFonts w:hint="eastAsia" w:ascii="仿宋_GB2312" w:hAnsi="仿宋_GB2312" w:eastAsia="仿宋_GB2312" w:cs="仿宋_GB2312"/>
          <w:color w:val="auto"/>
          <w:sz w:val="32"/>
          <w:szCs w:val="32"/>
        </w:rPr>
        <w:t>转站正</w:t>
      </w:r>
      <w:r>
        <w:rPr>
          <w:rFonts w:hint="eastAsia" w:ascii="仿宋_GB2312" w:hAnsi="仿宋_GB2312" w:eastAsia="仿宋_GB2312" w:cs="仿宋_GB2312"/>
          <w:sz w:val="32"/>
          <w:szCs w:val="32"/>
        </w:rPr>
        <w:t>常运转。</w:t>
      </w:r>
    </w:p>
    <w:p>
      <w:pPr>
        <w:pBdr>
          <w:bottom w:val="single" w:color="FFFFFF" w:sz="4" w:space="15"/>
        </w:pBdr>
        <w:autoSpaceDE w:val="0"/>
        <w:autoSpaceDN w:val="0"/>
        <w:adjustRightInd w:val="0"/>
        <w:snapToGrid w:val="0"/>
        <w:spacing w:line="560" w:lineRule="exact"/>
        <w:ind w:firstLine="643" w:firstLineChars="200"/>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群策群力，垃圾分类工作推进有序</w:t>
      </w:r>
    </w:p>
    <w:p>
      <w:pPr>
        <w:pBdr>
          <w:bottom w:val="single" w:color="FFFFFF" w:sz="4" w:space="15"/>
        </w:pBdr>
        <w:autoSpaceDE w:val="0"/>
        <w:autoSpaceDN w:val="0"/>
        <w:adjustRightInd w:val="0"/>
        <w:snapToGrid w:val="0"/>
        <w:spacing w:line="560" w:lineRule="exact"/>
        <w:ind w:firstLine="640" w:firstLineChars="200"/>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sz w:val="32"/>
          <w:szCs w:val="32"/>
        </w:rPr>
        <w:t>为进一步推进垃圾分类工作，2022年度，严格按审批程序采</w:t>
      </w:r>
      <w:r>
        <w:rPr>
          <w:rFonts w:hint="eastAsia" w:ascii="仿宋_GB2312" w:hAnsi="仿宋_GB2312" w:eastAsia="仿宋_GB2312" w:cs="仿宋_GB2312"/>
          <w:color w:val="000000"/>
          <w:sz w:val="32"/>
          <w:szCs w:val="32"/>
        </w:rPr>
        <w:t>购分类垃圾桶、分类果皮箱，规范分布在城区主次干道。同时，及时做好垃圾分类投放亭的垃圾清运、清洗工作，做到垃圾清运及时、无满溢现象，外观整洁、规范摆放。目前，街道、社区示范片区四分类投放亭7座，在7个行政村建设了镀锌板四分类垃圾亭7座，可回收物暂存点1处，公共机构分类垃圾桶投放大部分已按标准到位。</w:t>
      </w:r>
    </w:p>
    <w:p>
      <w:pPr>
        <w:pBdr>
          <w:bottom w:val="single" w:color="FFFFFF" w:sz="4" w:space="15"/>
        </w:pBdr>
        <w:autoSpaceDE w:val="0"/>
        <w:autoSpaceDN w:val="0"/>
        <w:adjustRightInd w:val="0"/>
        <w:snapToGrid w:val="0"/>
        <w:spacing w:line="560" w:lineRule="exact"/>
        <w:ind w:firstLine="643" w:firstLineChars="200"/>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sz w:val="32"/>
          <w:szCs w:val="32"/>
          <w:lang w:eastAsia="zh-CN"/>
        </w:rPr>
        <w:t>五、</w:t>
      </w:r>
      <w:r>
        <w:rPr>
          <w:rFonts w:hint="eastAsia" w:ascii="仿宋_GB2312" w:hAnsi="仿宋_GB2312" w:eastAsia="仿宋_GB2312" w:cs="仿宋_GB2312"/>
          <w:b/>
          <w:sz w:val="32"/>
          <w:szCs w:val="32"/>
        </w:rPr>
        <w:t>统筹兼顾，城区餐厨垃圾集中收运管理工作有序</w:t>
      </w:r>
    </w:p>
    <w:p>
      <w:pPr>
        <w:pBdr>
          <w:bottom w:val="single" w:color="FFFFFF" w:sz="4" w:space="15"/>
        </w:pBdr>
        <w:autoSpaceDE w:val="0"/>
        <w:autoSpaceDN w:val="0"/>
        <w:adjustRightInd w:val="0"/>
        <w:snapToGrid w:val="0"/>
        <w:spacing w:line="560" w:lineRule="exact"/>
        <w:ind w:firstLine="640" w:firstLineChars="200"/>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color w:val="000000"/>
          <w:sz w:val="32"/>
          <w:szCs w:val="32"/>
        </w:rPr>
        <w:t>6月，制定并颁布《南岳区餐厨垃圾管理办法》《</w:t>
      </w: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page">
                  <wp:posOffset>230505</wp:posOffset>
                </wp:positionH>
                <wp:positionV relativeFrom="page">
                  <wp:posOffset>167005</wp:posOffset>
                </wp:positionV>
                <wp:extent cx="121285" cy="2641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1285" cy="264160"/>
                        </a:xfrm>
                        <a:prstGeom prst="rect">
                          <a:avLst/>
                        </a:prstGeom>
                        <a:noFill/>
                        <a:ln>
                          <a:noFill/>
                        </a:ln>
                        <a:effectLst/>
                      </wps:spPr>
                      <wps:txbx>
                        <w:txbxContent>
                          <w:p>
                            <w:pPr>
                              <w:pStyle w:val="4"/>
                              <w:kinsoku w:val="0"/>
                              <w:overflowPunct w:val="0"/>
                              <w:ind w:left="5250"/>
                              <w:rPr>
                                <w:color w:val="ACACAC"/>
                                <w:sz w:val="18"/>
                              </w:rPr>
                            </w:pPr>
                            <w:r>
                              <w:rPr>
                                <w:color w:val="ACACAC"/>
                                <w:spacing w:val="-61"/>
                                <w:sz w:val="18"/>
                              </w:rPr>
                              <w:t>r</w:t>
                            </w:r>
                            <w:r>
                              <w:rPr>
                                <w:color w:val="ACACAC"/>
                                <w:sz w:val="18"/>
                              </w:rPr>
                              <w:t>3</w:t>
                            </w:r>
                          </w:p>
                          <w:p>
                            <w:pPr>
                              <w:pStyle w:val="4"/>
                              <w:kinsoku w:val="0"/>
                              <w:overflowPunct w:val="0"/>
                              <w:ind w:left="5250"/>
                              <w:rPr>
                                <w:rFonts w:ascii="Arial" w:cs="Arial"/>
                                <w:sz w:val="8"/>
                              </w:rPr>
                            </w:pPr>
                          </w:p>
                          <w:p>
                            <w:pPr>
                              <w:pStyle w:val="4"/>
                              <w:kinsoku w:val="0"/>
                              <w:overflowPunct w:val="0"/>
                              <w:spacing w:before="52" w:line="60" w:lineRule="auto"/>
                              <w:ind w:left="5250" w:right="1"/>
                              <w:rPr>
                                <w:color w:val="ACACAC"/>
                                <w:sz w:val="17"/>
                              </w:rPr>
                            </w:pPr>
                            <w:r>
                              <w:rPr>
                                <w:color w:val="ACACAC"/>
                                <w:sz w:val="17"/>
                              </w:rPr>
                              <w:t>I</w:t>
                            </w:r>
                            <w:r>
                              <w:rPr>
                                <w:color w:val="ACACAC"/>
                                <w:spacing w:val="-50"/>
                                <w:sz w:val="17"/>
                              </w:rPr>
                              <w:t xml:space="preserve"> </w:t>
                            </w:r>
                            <w:r>
                              <w:rPr>
                                <w:color w:val="ACACAC"/>
                                <w:sz w:val="17"/>
                              </w:rPr>
                              <w:t>-</w:t>
                            </w:r>
                          </w:p>
                        </w:txbxContent>
                      </wps:txbx>
                      <wps:bodyPr vert="eaVert" lIns="0" tIns="0" rIns="0" bIns="0" upright="1"/>
                    </wps:wsp>
                  </a:graphicData>
                </a:graphic>
              </wp:anchor>
            </w:drawing>
          </mc:Choice>
          <mc:Fallback>
            <w:pict>
              <v:shape id="_x0000_s1026" o:spid="_x0000_s1026" o:spt="202" type="#_x0000_t202" style="position:absolute;left:0pt;margin-left:18.15pt;margin-top:13.15pt;height:20.8pt;width:9.55pt;mso-position-horizontal-relative:page;mso-position-vertical-relative:page;z-index:251659264;mso-width-relative:page;mso-height-relative:page;" filled="f" stroked="f" coordsize="21600,21600" o:gfxdata="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Q7YpzVAAAABwEAAA8AAAAAAAAAAQAgAAAAIgAAAGRycy9kb3ducmV2&#10;LnhtbFBLAQIUABQAAAAIAIdO4kCgL5brxgEAAI0DAAAOAAAAAAAAAAEAIAAAACQBAABkcnMvZTJv&#10;RG9jLnhtbFBLBQYAAAAABgAGAFkBAABcBQAAAAA=&#10;">
                <v:fill on="f" focussize="0,0"/>
                <v:stroke on="f"/>
                <v:imagedata o:title=""/>
                <o:lock v:ext="edit" aspectratio="f"/>
                <v:textbox inset="0mm,0mm,0mm,0mm" style="layout-flow:vertical-ideographic;">
                  <w:txbxContent>
                    <w:p>
                      <w:pPr>
                        <w:pStyle w:val="4"/>
                        <w:kinsoku w:val="0"/>
                        <w:overflowPunct w:val="0"/>
                        <w:ind w:left="5250"/>
                        <w:rPr>
                          <w:color w:val="ACACAC"/>
                          <w:sz w:val="18"/>
                        </w:rPr>
                      </w:pPr>
                      <w:r>
                        <w:rPr>
                          <w:color w:val="ACACAC"/>
                          <w:spacing w:val="-61"/>
                          <w:sz w:val="18"/>
                        </w:rPr>
                        <w:t>r</w:t>
                      </w:r>
                      <w:r>
                        <w:rPr>
                          <w:color w:val="ACACAC"/>
                          <w:sz w:val="18"/>
                        </w:rPr>
                        <w:t>3</w:t>
                      </w:r>
                    </w:p>
                    <w:p>
                      <w:pPr>
                        <w:pStyle w:val="4"/>
                        <w:kinsoku w:val="0"/>
                        <w:overflowPunct w:val="0"/>
                        <w:ind w:left="5250"/>
                        <w:rPr>
                          <w:rFonts w:ascii="Arial" w:cs="Arial"/>
                          <w:sz w:val="8"/>
                        </w:rPr>
                      </w:pPr>
                    </w:p>
                    <w:p>
                      <w:pPr>
                        <w:pStyle w:val="4"/>
                        <w:kinsoku w:val="0"/>
                        <w:overflowPunct w:val="0"/>
                        <w:spacing w:before="52" w:line="60" w:lineRule="auto"/>
                        <w:ind w:left="5250" w:right="1"/>
                        <w:rPr>
                          <w:color w:val="ACACAC"/>
                          <w:sz w:val="17"/>
                        </w:rPr>
                      </w:pPr>
                      <w:r>
                        <w:rPr>
                          <w:color w:val="ACACAC"/>
                          <w:sz w:val="17"/>
                        </w:rPr>
                        <w:t>I</w:t>
                      </w:r>
                      <w:r>
                        <w:rPr>
                          <w:color w:val="ACACAC"/>
                          <w:spacing w:val="-50"/>
                          <w:sz w:val="17"/>
                        </w:rPr>
                        <w:t xml:space="preserve"> </w:t>
                      </w:r>
                      <w:r>
                        <w:rPr>
                          <w:color w:val="ACACAC"/>
                          <w:sz w:val="17"/>
                        </w:rPr>
                        <w:t>-</w:t>
                      </w:r>
                    </w:p>
                  </w:txbxContent>
                </v:textbox>
              </v:shape>
            </w:pict>
          </mc:Fallback>
        </mc:AlternateContent>
      </w:r>
      <w:r>
        <w:rPr>
          <w:rFonts w:hint="eastAsia" w:ascii="仿宋_GB2312" w:hAnsi="仿宋_GB2312" w:eastAsia="仿宋_GB2312" w:cs="仿宋_GB2312"/>
          <w:color w:val="000000"/>
          <w:sz w:val="32"/>
          <w:szCs w:val="32"/>
        </w:rPr>
        <w:t>南岳区餐厨垃圾收运处置考核办法》，填补了自2018年我区开展餐厨垃圾收运处置工作以来的制度空白。7月，经区人民政府授权，与衡阳市餐厨垃圾收运处置企业签订了为期三年的餐厨垃圾收运、处置运营服务合同。自8月开始，区环卫所严格对照《考核办法》，通过明检、暗查等多种形式对城区餐厨垃圾收运日常工作进行全方位的督查考核，每月下发《餐厨垃圾收运处置考核督查通报》。8-12月查处餐厨收运企业各类问题1281起，整改1264起，扣分17起，扣分18分，考核罚款直接由区财政从承包经费中扣除。全年共收运处置餐厨垃圾总量1582.2吨。</w:t>
      </w:r>
    </w:p>
    <w:p>
      <w:pPr>
        <w:pBdr>
          <w:bottom w:val="single" w:color="FFFFFF" w:sz="4" w:space="15"/>
        </w:pBdr>
        <w:autoSpaceDE w:val="0"/>
        <w:autoSpaceDN w:val="0"/>
        <w:adjustRightInd w:val="0"/>
        <w:snapToGrid w:val="0"/>
        <w:spacing w:line="560" w:lineRule="exact"/>
        <w:ind w:firstLine="643" w:firstLineChars="200"/>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sz w:val="32"/>
          <w:szCs w:val="32"/>
          <w:lang w:eastAsia="zh-CN"/>
        </w:rPr>
        <w:t>六</w:t>
      </w:r>
      <w:r>
        <w:rPr>
          <w:rFonts w:hint="eastAsia" w:ascii="仿宋_GB2312" w:hAnsi="仿宋_GB2312" w:eastAsia="仿宋_GB2312" w:cs="仿宋_GB2312"/>
          <w:b/>
          <w:sz w:val="32"/>
          <w:szCs w:val="32"/>
        </w:rPr>
        <w:t>、恪尽职守，生活垃圾和大庙香灰清运工作开展有力</w:t>
      </w:r>
    </w:p>
    <w:p>
      <w:pPr>
        <w:pBdr>
          <w:bottom w:val="single" w:color="FFFFFF" w:sz="4" w:space="15"/>
        </w:pBdr>
        <w:autoSpaceDE w:val="0"/>
        <w:autoSpaceDN w:val="0"/>
        <w:adjustRightInd w:val="0"/>
        <w:snapToGrid w:val="0"/>
        <w:spacing w:line="560" w:lineRule="exact"/>
        <w:ind w:firstLine="643" w:firstLineChars="200"/>
        <w:rPr>
          <w:rFonts w:ascii="Times New Roman" w:hAnsi="Times New Roman" w:eastAsia="黑体" w:cs="Times New Roman"/>
          <w:sz w:val="32"/>
          <w:szCs w:val="32"/>
        </w:rPr>
      </w:pP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sz w:val="32"/>
          <w:szCs w:val="32"/>
        </w:rPr>
        <w:t>严格对照作业标准，认真做好城区生活垃圾、南岳镇14个行政村（社区）、大庙香灰的清运工作，做到定点定时清运，确保日产日清，清运率达100%，同时做到不撒、不漏、保证安全，杜绝二次污染。1-12月清运城区生活垃圾1.81万吨；农村生活垃圾0.5万吨，清运大庙香灰248车次。</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烧田生活垃圾中转站全年高效运转，1-12月压缩转运生活垃圾2.16万吨，转运污水0.18万吨，生活垃圾全部转运至衡阳市焚烧发电厂进行焚烧处理，无害化处理率达到100%。</w:t>
      </w:r>
    </w:p>
    <w:p>
      <w:pPr>
        <w:widowControl/>
        <w:numPr>
          <w:ilvl w:val="0"/>
          <w:numId w:val="1"/>
        </w:numPr>
        <w:spacing w:line="600" w:lineRule="exact"/>
        <w:ind w:left="0" w:leftChars="0"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存在的问题及原因分析</w:t>
      </w:r>
    </w:p>
    <w:p>
      <w:pPr>
        <w:spacing w:line="600" w:lineRule="exact"/>
        <w:ind w:firstLine="640" w:firstLineChars="200"/>
        <w:rPr>
          <w:rFonts w:eastAsia="仿宋_GB2312"/>
          <w:sz w:val="32"/>
          <w:szCs w:val="32"/>
        </w:rPr>
      </w:pPr>
      <w:r>
        <w:rPr>
          <w:rFonts w:eastAsia="仿宋_GB2312"/>
          <w:sz w:val="32"/>
          <w:szCs w:val="32"/>
        </w:rPr>
        <w:t>通过前述对我</w:t>
      </w:r>
      <w:r>
        <w:rPr>
          <w:rFonts w:hint="eastAsia" w:eastAsia="仿宋_GB2312"/>
          <w:sz w:val="32"/>
          <w:szCs w:val="32"/>
          <w:lang w:eastAsia="zh-CN"/>
        </w:rPr>
        <w:t>单位</w:t>
      </w:r>
      <w:r>
        <w:rPr>
          <w:rFonts w:eastAsia="仿宋_GB2312"/>
          <w:sz w:val="32"/>
          <w:szCs w:val="32"/>
        </w:rPr>
        <w:t>整体支出情况的分析，反映出目前整体支出主要在预算执行方面还存在一些问题和不足：</w:t>
      </w:r>
    </w:p>
    <w:p>
      <w:pPr>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由于疫情冲击影响的客观因素，以及牢固树立过紧日子思想，主动压缩非重点、刚性支出的主观因素，导致部分预算项目如培训费、工会经费预算执行情况不理想，</w:t>
      </w:r>
      <w:r>
        <w:rPr>
          <w:rFonts w:hint="eastAsia" w:eastAsia="仿宋_GB2312"/>
          <w:sz w:val="32"/>
          <w:szCs w:val="32"/>
        </w:rPr>
        <w:t>我们将在</w:t>
      </w:r>
      <w:r>
        <w:rPr>
          <w:rFonts w:eastAsia="仿宋_GB2312"/>
          <w:sz w:val="32"/>
          <w:szCs w:val="32"/>
        </w:rPr>
        <w:t>下年加以重视，</w:t>
      </w:r>
      <w:r>
        <w:rPr>
          <w:rFonts w:hint="eastAsia" w:eastAsia="仿宋_GB2312"/>
          <w:sz w:val="32"/>
          <w:szCs w:val="32"/>
        </w:rPr>
        <w:t>提前谋划，</w:t>
      </w:r>
      <w:r>
        <w:rPr>
          <w:rFonts w:hint="eastAsia" w:eastAsia="仿宋_GB2312"/>
          <w:sz w:val="32"/>
          <w:szCs w:val="32"/>
          <w:lang w:eastAsia="zh-CN"/>
        </w:rPr>
        <w:t>科学编制项目预算，进一步提高预算编制的精确性。</w:t>
      </w:r>
      <w:r>
        <w:rPr>
          <w:rFonts w:hint="eastAsia" w:eastAsia="仿宋_GB2312"/>
          <w:sz w:val="32"/>
          <w:szCs w:val="32"/>
          <w:lang w:val="en-US" w:eastAsia="zh-CN"/>
        </w:rPr>
        <w:t xml:space="preserve">    </w:t>
      </w:r>
    </w:p>
    <w:p>
      <w:pPr>
        <w:spacing w:line="600" w:lineRule="exact"/>
        <w:ind w:firstLine="643" w:firstLineChars="200"/>
        <w:rPr>
          <w:rFonts w:hint="eastAsia" w:ascii="Calibri" w:hAnsi="Calibri" w:eastAsia="楷体_GB2312" w:cs="Times New Roman"/>
          <w:b/>
          <w:sz w:val="32"/>
          <w:szCs w:val="32"/>
          <w:lang w:eastAsia="zh-CN"/>
        </w:rPr>
      </w:pPr>
      <w:r>
        <w:rPr>
          <w:rFonts w:hint="eastAsia" w:ascii="Calibri" w:hAnsi="Calibri" w:eastAsia="楷体_GB2312" w:cs="Times New Roman"/>
          <w:b/>
          <w:sz w:val="32"/>
          <w:szCs w:val="32"/>
          <w:lang w:eastAsia="zh-CN"/>
        </w:rPr>
        <w:t>（二）部分项目实施与预算执行存在脱节。</w:t>
      </w:r>
    </w:p>
    <w:p>
      <w:pPr>
        <w:numPr>
          <w:ilvl w:val="0"/>
          <w:numId w:val="0"/>
        </w:numPr>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受疫情影响，部分项目启动较晚，实施周期相对较长，导致项目验收晚，预算执行进度偏慢，相对比较集中。</w:t>
      </w:r>
      <w:r>
        <w:rPr>
          <w:rFonts w:hint="eastAsia" w:eastAsia="仿宋_GB2312"/>
          <w:sz w:val="32"/>
          <w:szCs w:val="32"/>
          <w:lang w:val="en-US" w:eastAsia="zh-CN"/>
        </w:rPr>
        <w:t>我们将在下年予以重视，督促项目实施单位早启动、早实施、早验收，对符合条件的项目按照项目进度支付相关款项。</w:t>
      </w:r>
    </w:p>
    <w:p>
      <w:pPr>
        <w:widowControl/>
        <w:numPr>
          <w:ilvl w:val="0"/>
          <w:numId w:val="2"/>
        </w:numPr>
        <w:spacing w:line="60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下一步改进措施</w:t>
      </w:r>
    </w:p>
    <w:p>
      <w:pPr>
        <w:spacing w:line="600" w:lineRule="exact"/>
        <w:ind w:firstLine="640" w:firstLineChars="200"/>
        <w:rPr>
          <w:rFonts w:eastAsia="仿宋_GB2312"/>
          <w:sz w:val="32"/>
          <w:szCs w:val="32"/>
        </w:rPr>
      </w:pPr>
      <w:r>
        <w:rPr>
          <w:rFonts w:eastAsia="仿宋_GB2312"/>
          <w:sz w:val="32"/>
          <w:szCs w:val="32"/>
        </w:rPr>
        <w:t>针对上述存在的问题，拟采取以下改进措施：</w:t>
      </w:r>
    </w:p>
    <w:p>
      <w:pPr>
        <w:widowControl/>
        <w:numPr>
          <w:ilvl w:val="0"/>
          <w:numId w:val="0"/>
        </w:numPr>
        <w:spacing w:line="600" w:lineRule="exact"/>
        <w:ind w:firstLine="640" w:firstLineChars="200"/>
        <w:jc w:val="left"/>
        <w:rPr>
          <w:rFonts w:hint="eastAsia" w:eastAsia="仿宋_GB2312"/>
          <w:sz w:val="32"/>
          <w:szCs w:val="32"/>
          <w:lang w:val="en-US" w:eastAsia="zh-CN"/>
        </w:rPr>
      </w:pPr>
      <w:r>
        <w:rPr>
          <w:rFonts w:hint="eastAsia" w:ascii="仿宋_GB2312" w:hAnsi="仿宋_GB2312" w:eastAsia="仿宋_GB2312" w:cs="仿宋_GB2312"/>
          <w:b w:val="0"/>
          <w:bCs/>
          <w:sz w:val="32"/>
          <w:szCs w:val="32"/>
          <w:lang w:val="en-US" w:eastAsia="zh-CN"/>
        </w:rPr>
        <w:t>强化预算管理，定期开展预算执行分析。</w:t>
      </w:r>
      <w:r>
        <w:rPr>
          <w:rFonts w:hint="eastAsia" w:eastAsia="仿宋_GB2312"/>
          <w:sz w:val="32"/>
          <w:szCs w:val="32"/>
          <w:lang w:val="en-US" w:eastAsia="zh-CN"/>
        </w:rPr>
        <w:t>通过定期对项目实施和预算执行情况进行梳理，及时掌握项目进度，督促项目实施单位早启动、早实施、早验收，对符合条件的项目按照项目进度支付相关款项，将预算资金管理贯穿于项目实施全过程中。对未启动项目及时分析原因，根据资金使用情况调整下年预算安排。</w:t>
      </w:r>
    </w:p>
    <w:p>
      <w:pPr>
        <w:widowControl/>
        <w:numPr>
          <w:ilvl w:val="0"/>
          <w:numId w:val="0"/>
        </w:numPr>
        <w:spacing w:line="600" w:lineRule="exact"/>
        <w:ind w:firstLine="640" w:firstLineChars="200"/>
        <w:jc w:val="left"/>
        <w:rPr>
          <w:rFonts w:hint="eastAsia" w:eastAsia="仿宋_GB2312"/>
          <w:sz w:val="32"/>
          <w:szCs w:val="32"/>
          <w:lang w:val="en-US" w:eastAsia="zh-CN"/>
        </w:rPr>
      </w:pPr>
    </w:p>
    <w:p>
      <w:pPr>
        <w:widowControl/>
        <w:numPr>
          <w:ilvl w:val="0"/>
          <w:numId w:val="0"/>
        </w:numPr>
        <w:spacing w:line="600" w:lineRule="exact"/>
        <w:ind w:firstLine="640" w:firstLineChars="200"/>
        <w:jc w:val="left"/>
        <w:rPr>
          <w:rFonts w:hint="eastAsia" w:eastAsia="仿宋_GB2312"/>
          <w:sz w:val="32"/>
          <w:szCs w:val="32"/>
          <w:lang w:val="en-US" w:eastAsia="zh-CN"/>
        </w:rPr>
      </w:pPr>
    </w:p>
    <w:p>
      <w:pPr>
        <w:widowControl/>
        <w:numPr>
          <w:ilvl w:val="0"/>
          <w:numId w:val="0"/>
        </w:numPr>
        <w:spacing w:line="600" w:lineRule="exact"/>
        <w:ind w:firstLine="640" w:firstLineChars="200"/>
        <w:jc w:val="left"/>
        <w:rPr>
          <w:rFonts w:hint="eastAsia" w:eastAsia="仿宋_GB2312"/>
          <w:sz w:val="32"/>
          <w:szCs w:val="32"/>
          <w:lang w:val="en-US" w:eastAsia="zh-CN"/>
        </w:rPr>
      </w:pPr>
      <w:r>
        <w:rPr>
          <w:rFonts w:hint="eastAsia" w:eastAsia="仿宋_GB2312"/>
          <w:sz w:val="32"/>
          <w:szCs w:val="32"/>
          <w:lang w:val="en-US" w:eastAsia="zh-CN"/>
        </w:rPr>
        <w:t xml:space="preserve">                             南岳区环境卫生所</w:t>
      </w:r>
    </w:p>
    <w:p>
      <w:pPr>
        <w:widowControl/>
        <w:numPr>
          <w:ilvl w:val="0"/>
          <w:numId w:val="0"/>
        </w:numPr>
        <w:spacing w:line="600" w:lineRule="exact"/>
        <w:ind w:firstLine="640" w:firstLineChars="200"/>
        <w:jc w:val="left"/>
        <w:rPr>
          <w:rFonts w:hint="default" w:eastAsia="仿宋_GB2312"/>
          <w:sz w:val="32"/>
          <w:szCs w:val="32"/>
          <w:lang w:val="en-US" w:eastAsia="zh-CN"/>
        </w:rPr>
      </w:pPr>
      <w:r>
        <w:rPr>
          <w:rFonts w:hint="eastAsia" w:eastAsia="仿宋_GB2312"/>
          <w:sz w:val="32"/>
          <w:szCs w:val="32"/>
          <w:lang w:val="en-US" w:eastAsia="zh-CN"/>
        </w:rPr>
        <w:t xml:space="preserve">                                  2023年2月4日</w:t>
      </w:r>
    </w:p>
    <w:p>
      <w:pPr>
        <w:widowControl/>
        <w:numPr>
          <w:ilvl w:val="0"/>
          <w:numId w:val="0"/>
        </w:numPr>
        <w:spacing w:line="600" w:lineRule="exact"/>
        <w:ind w:firstLine="600" w:firstLineChars="200"/>
        <w:jc w:val="left"/>
        <w:rPr>
          <w:rFonts w:hint="default" w:ascii="宋体" w:hAnsi="宋体" w:eastAsia="宋体" w:cs="宋体"/>
          <w:sz w:val="30"/>
          <w:szCs w:val="30"/>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39CCF1"/>
    <w:multiLevelType w:val="singleLevel"/>
    <w:tmpl w:val="F639CCF1"/>
    <w:lvl w:ilvl="0" w:tentative="0">
      <w:start w:val="2"/>
      <w:numFmt w:val="chineseCounting"/>
      <w:suff w:val="nothing"/>
      <w:lvlText w:val="%1、"/>
      <w:lvlJc w:val="left"/>
      <w:rPr>
        <w:rFonts w:hint="eastAsia"/>
      </w:rPr>
    </w:lvl>
  </w:abstractNum>
  <w:abstractNum w:abstractNumId="1">
    <w:nsid w:val="692A871F"/>
    <w:multiLevelType w:val="singleLevel"/>
    <w:tmpl w:val="692A871F"/>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5YjdiMjUyZmMxMTdhMWVmYjgyZjFiYjU2MTA2NzEifQ=="/>
  </w:docVars>
  <w:rsids>
    <w:rsidRoot w:val="58E06247"/>
    <w:rsid w:val="00881676"/>
    <w:rsid w:val="103C1D0B"/>
    <w:rsid w:val="149B2A0B"/>
    <w:rsid w:val="20E67351"/>
    <w:rsid w:val="28606852"/>
    <w:rsid w:val="29121970"/>
    <w:rsid w:val="29EF7861"/>
    <w:rsid w:val="2ADA6473"/>
    <w:rsid w:val="30BE2A8F"/>
    <w:rsid w:val="325D5447"/>
    <w:rsid w:val="34E12A3E"/>
    <w:rsid w:val="429F3322"/>
    <w:rsid w:val="43102595"/>
    <w:rsid w:val="4A1504A0"/>
    <w:rsid w:val="52C14B04"/>
    <w:rsid w:val="55A02E49"/>
    <w:rsid w:val="58E06247"/>
    <w:rsid w:val="591470C9"/>
    <w:rsid w:val="5DA220D3"/>
    <w:rsid w:val="5FA97C55"/>
    <w:rsid w:val="64A2122F"/>
    <w:rsid w:val="6713109A"/>
    <w:rsid w:val="67B42849"/>
    <w:rsid w:val="71532D27"/>
    <w:rsid w:val="71BD756A"/>
    <w:rsid w:val="751B6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宋体"/>
      <w:kern w:val="0"/>
      <w:sz w:val="20"/>
    </w:rPr>
  </w:style>
  <w:style w:type="paragraph" w:styleId="3">
    <w:name w:val="Body Text Indent"/>
    <w:basedOn w:val="1"/>
    <w:qFormat/>
    <w:uiPriority w:val="0"/>
    <w:pPr>
      <w:spacing w:after="120"/>
      <w:ind w:left="420" w:leftChars="200"/>
    </w:pPr>
  </w:style>
  <w:style w:type="paragraph" w:styleId="4">
    <w:name w:val="Body Text"/>
    <w:basedOn w:val="1"/>
    <w:unhideWhenUsed/>
    <w:qFormat/>
    <w:uiPriority w:val="1"/>
    <w:pPr>
      <w:spacing w:beforeLines="0" w:afterLines="0"/>
    </w:pPr>
    <w:rPr>
      <w:rFonts w:hint="eastAsia"/>
      <w:sz w:val="32"/>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0">
    <w:name w:val="样式3"/>
    <w:basedOn w:val="1"/>
    <w:qFormat/>
    <w:uiPriority w:val="0"/>
    <w:rPr>
      <w:rFonts w:ascii="Times New Roman" w:hAnsi="Times New Roman" w:eastAsia="仿宋_GB2312" w:cs="Times New Roman"/>
      <w:spacing w:val="113"/>
      <w:sz w:val="32"/>
    </w:rPr>
  </w:style>
  <w:style w:type="paragraph" w:customStyle="1" w:styleId="11">
    <w:name w:val="样式4"/>
    <w:basedOn w:val="1"/>
    <w:qFormat/>
    <w:uiPriority w:val="0"/>
    <w:rPr>
      <w:rFonts w:ascii="Times New Roman" w:hAnsi="Times New Roman" w:eastAsia="仿宋_GB2312" w:cs="Times New Roman"/>
      <w:snapToGrid w:val="0"/>
      <w:spacing w:val="79"/>
      <w:sz w:val="32"/>
    </w:rPr>
  </w:style>
  <w:style w:type="paragraph" w:customStyle="1" w:styleId="12">
    <w:name w:val="样式6"/>
    <w:basedOn w:val="1"/>
    <w:qFormat/>
    <w:uiPriority w:val="0"/>
    <w:rPr>
      <w:rFonts w:ascii="Times New Roman" w:hAnsi="Times New Roman" w:eastAsia="仿宋_GB2312" w:cs="Times New Roman"/>
      <w:spacing w:val="57"/>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2677</Words>
  <Characters>2806</Characters>
  <Lines>0</Lines>
  <Paragraphs>0</Paragraphs>
  <TotalTime>10</TotalTime>
  <ScaleCrop>false</ScaleCrop>
  <LinksUpToDate>false</LinksUpToDate>
  <CharactersWithSpaces>2874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2020-10-27T13:06:00Z</dcterms:created>
  <dc:creator>Administrator</dc:creator>
  <cp:lastModifiedBy>七月</cp:lastModifiedBy>
  <cp:lastPrinted>2023-02-09T01:52:28Z</cp:lastPrinted>
  <dcterms:modified xsi:type="dcterms:W3CDTF">2023-02-09T01:53:38Z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725B4BE4A84B421295906AC7490F3989</vt:lpwstr>
  </property>
</Properties>
</file>