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南岳区公路建设养护中心</w:t>
      </w:r>
    </w:p>
    <w:p>
      <w:pPr>
        <w:widowControl/>
        <w:jc w:val="center"/>
        <w:rPr>
          <w:rFonts w:eastAsia="方正小标宋_GBK"/>
          <w:sz w:val="36"/>
          <w:szCs w:val="36"/>
        </w:rPr>
      </w:pP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23</w:t>
      </w:r>
      <w:r>
        <w:rPr>
          <w:rFonts w:hint="eastAsia" w:ascii="方正小标宋简体" w:hAnsi="方正小标宋简体" w:eastAsia="方正小标宋简体" w:cs="方正小标宋简体"/>
          <w:sz w:val="36"/>
          <w:szCs w:val="36"/>
        </w:rPr>
        <w:t>年度部门整体支出绩效评价报告</w:t>
      </w:r>
    </w:p>
    <w:p>
      <w:pPr>
        <w:spacing w:line="600" w:lineRule="exact"/>
        <w:ind w:firstLine="645"/>
        <w:rPr>
          <w:rFonts w:eastAsia="仿宋_GB2312"/>
          <w:sz w:val="32"/>
          <w:szCs w:val="32"/>
        </w:rPr>
      </w:pPr>
      <w:r>
        <w:rPr>
          <w:rFonts w:eastAsia="仿宋_GB2312"/>
          <w:sz w:val="32"/>
          <w:szCs w:val="32"/>
        </w:rPr>
        <w:t>根据《中共中央 国务院关于全面实施预算绩效管理的意见》的文件精神，我</w:t>
      </w:r>
      <w:r>
        <w:rPr>
          <w:rFonts w:hint="eastAsia" w:eastAsia="仿宋_GB2312"/>
          <w:sz w:val="32"/>
          <w:szCs w:val="32"/>
          <w:lang w:eastAsia="zh-CN"/>
        </w:rPr>
        <w:t>单位</w:t>
      </w:r>
      <w:r>
        <w:rPr>
          <w:rFonts w:eastAsia="仿宋_GB2312"/>
          <w:sz w:val="32"/>
          <w:szCs w:val="32"/>
        </w:rPr>
        <w:t>对部门整体支出进行了绩效评价，现报告如下：</w:t>
      </w:r>
    </w:p>
    <w:p>
      <w:pPr>
        <w:numPr>
          <w:ilvl w:val="0"/>
          <w:numId w:val="0"/>
        </w:numPr>
        <w:ind w:firstLine="640" w:firstLineChars="200"/>
        <w:rPr>
          <w:rFonts w:hint="eastAsia" w:ascii="黑体" w:hAnsi="Times New Roman" w:eastAsia="黑体" w:cs="Times New Roman"/>
          <w:sz w:val="32"/>
          <w:szCs w:val="32"/>
        </w:rPr>
      </w:pPr>
      <w:r>
        <w:rPr>
          <w:rFonts w:hint="eastAsia" w:ascii="黑体" w:hAnsi="Times New Roman" w:eastAsia="黑体" w:cs="Times New Roman"/>
          <w:sz w:val="32"/>
          <w:szCs w:val="32"/>
          <w:lang w:eastAsia="zh-CN"/>
        </w:rPr>
        <w:t>一、</w:t>
      </w:r>
      <w:r>
        <w:rPr>
          <w:rFonts w:hint="eastAsia" w:ascii="黑体" w:hAnsi="Times New Roman" w:eastAsia="黑体" w:cs="Times New Roman"/>
          <w:sz w:val="32"/>
          <w:szCs w:val="32"/>
        </w:rPr>
        <w:t>部门（单位）基本情况</w:t>
      </w:r>
    </w:p>
    <w:p>
      <w:pPr>
        <w:widowControl/>
        <w:spacing w:line="600" w:lineRule="exact"/>
        <w:ind w:firstLine="630" w:firstLineChars="196"/>
        <w:jc w:val="left"/>
        <w:rPr>
          <w:rFonts w:eastAsia="楷体_GB2312"/>
          <w:b/>
          <w:snapToGrid w:val="0"/>
          <w:kern w:val="0"/>
          <w:sz w:val="32"/>
          <w:szCs w:val="32"/>
        </w:rPr>
      </w:pPr>
      <w:r>
        <w:rPr>
          <w:rFonts w:eastAsia="楷体_GB2312"/>
          <w:b/>
          <w:snapToGrid w:val="0"/>
          <w:kern w:val="0"/>
          <w:sz w:val="32"/>
          <w:szCs w:val="32"/>
        </w:rPr>
        <w:t>（一）部门职能职责</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 xml:space="preserve"> 1、贯彻执行国家和省、市、区关于公路建设、养护工作的方针政策、法规和技术规范，参与拟订有关政策规章制度和技术标准，并组织实施。</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2、按照交通运输行政主管部门制定的整体规划，参与拟订全区干线公路和农村公路发展规划和年度计划，负责组织实施全区干线公路和农村公路新(改)建工程。</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3、负责全区公路建设和养护工作。负责公路交通战备</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业务工作。负责公路建设和养护市场监管相关事务性工作。</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 xml:space="preserve"> 4、负责全区公路基础数据的调查、统计、审核和汇总工作。</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 xml:space="preserve"> 5、负责公路建设养护系统工程质量和安全生产管理工作。</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 xml:space="preserve">  6、负责公路重大突发事件预报、预警和应急保畅工作。负责公路运行信息发布服务工作。 </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7、负责公路行业科技和业务培训工作。负责公路建设</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养护新技术、新工艺、新材料、新设备的开发和推广工作。负责公路建设养护技术交流和科技成果转化工作，负责公路建设养护行业信息化和大数据建设。协助组织开展公路环保节能减排工作。</w:t>
      </w:r>
    </w:p>
    <w:p>
      <w:pPr>
        <w:widowControl/>
        <w:numPr>
          <w:ilvl w:val="0"/>
          <w:numId w:val="1"/>
        </w:numPr>
        <w:spacing w:line="600" w:lineRule="exact"/>
        <w:ind w:left="787" w:leftChars="0" w:firstLine="0" w:firstLineChars="0"/>
        <w:jc w:val="left"/>
        <w:rPr>
          <w:rFonts w:hint="eastAsia" w:eastAsia="仿宋_GB2312"/>
          <w:sz w:val="32"/>
          <w:szCs w:val="32"/>
        </w:rPr>
      </w:pPr>
      <w:r>
        <w:rPr>
          <w:rFonts w:hint="eastAsia" w:eastAsia="仿宋_GB2312"/>
          <w:sz w:val="32"/>
          <w:szCs w:val="32"/>
        </w:rPr>
        <w:t>完成区交通运输局交办的其他任务。</w:t>
      </w:r>
    </w:p>
    <w:p>
      <w:pPr>
        <w:widowControl/>
        <w:numPr>
          <w:ilvl w:val="0"/>
          <w:numId w:val="0"/>
        </w:numPr>
        <w:spacing w:line="600" w:lineRule="exact"/>
        <w:ind w:left="787" w:leftChars="0"/>
        <w:jc w:val="left"/>
        <w:rPr>
          <w:rFonts w:eastAsia="楷体_GB2312"/>
          <w:b/>
          <w:sz w:val="32"/>
          <w:szCs w:val="32"/>
        </w:rPr>
      </w:pPr>
      <w:r>
        <w:rPr>
          <w:rFonts w:eastAsia="楷体_GB2312"/>
          <w:b/>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kern w:val="0"/>
          <w:sz w:val="32"/>
          <w:szCs w:val="32"/>
          <w:lang w:val="en-US" w:eastAsia="zh-CN" w:bidi="ar-SA"/>
        </w:rPr>
      </w:pPr>
      <w:r>
        <w:rPr>
          <w:rFonts w:hint="eastAsia" w:ascii="仿宋" w:hAnsi="仿宋" w:eastAsia="仿宋" w:cs="仿宋"/>
          <w:sz w:val="32"/>
          <w:szCs w:val="32"/>
        </w:rPr>
        <w:t xml:space="preserve"> </w:t>
      </w:r>
      <w:r>
        <w:rPr>
          <w:rFonts w:hint="eastAsia" w:ascii="Times New Roman" w:hAnsi="Times New Roman" w:eastAsia="仿宋_GB2312" w:cs="Times New Roman"/>
          <w:kern w:val="0"/>
          <w:sz w:val="32"/>
          <w:szCs w:val="32"/>
          <w:lang w:val="en-US" w:eastAsia="zh-CN" w:bidi="ar-SA"/>
        </w:rPr>
        <w:t>2023年末</w:t>
      </w:r>
      <w:r>
        <w:rPr>
          <w:rFonts w:ascii="Times New Roman" w:hAnsi="Times New Roman" w:eastAsia="仿宋_GB2312" w:cs="Times New Roman"/>
          <w:kern w:val="0"/>
          <w:sz w:val="32"/>
          <w:szCs w:val="32"/>
          <w:lang w:val="en-US" w:eastAsia="zh-CN" w:bidi="ar-SA"/>
        </w:rPr>
        <w:t>，我</w:t>
      </w:r>
      <w:r>
        <w:rPr>
          <w:rFonts w:hint="eastAsia" w:ascii="Times New Roman" w:hAnsi="Times New Roman" w:eastAsia="仿宋_GB2312" w:cs="Times New Roman"/>
          <w:kern w:val="0"/>
          <w:sz w:val="32"/>
          <w:szCs w:val="32"/>
          <w:lang w:val="en-US" w:eastAsia="zh-CN" w:bidi="ar-SA"/>
        </w:rPr>
        <w:t>单位</w:t>
      </w:r>
      <w:r>
        <w:rPr>
          <w:rFonts w:ascii="Times New Roman" w:hAnsi="Times New Roman" w:eastAsia="仿宋_GB2312" w:cs="Times New Roman"/>
          <w:kern w:val="0"/>
          <w:sz w:val="32"/>
          <w:szCs w:val="32"/>
          <w:lang w:val="en-US" w:eastAsia="zh-CN" w:bidi="ar-SA"/>
        </w:rPr>
        <w:t>内设</w:t>
      </w:r>
      <w:r>
        <w:rPr>
          <w:rFonts w:hint="eastAsia" w:ascii="Times New Roman" w:hAnsi="Times New Roman" w:eastAsia="仿宋_GB2312" w:cs="Times New Roman"/>
          <w:kern w:val="0"/>
          <w:sz w:val="32"/>
          <w:szCs w:val="32"/>
          <w:lang w:val="en-US" w:eastAsia="zh-CN" w:bidi="ar-SA"/>
        </w:rPr>
        <w:t>机构5</w:t>
      </w:r>
      <w:r>
        <w:rPr>
          <w:rFonts w:ascii="Times New Roman" w:hAnsi="Times New Roman" w:eastAsia="仿宋_GB2312" w:cs="Times New Roman"/>
          <w:kern w:val="0"/>
          <w:sz w:val="32"/>
          <w:szCs w:val="32"/>
          <w:lang w:val="en-US" w:eastAsia="zh-CN" w:bidi="ar-SA"/>
        </w:rPr>
        <w:t>个，</w:t>
      </w:r>
      <w:r>
        <w:rPr>
          <w:rFonts w:hint="eastAsia" w:ascii="仿宋" w:hAnsi="仿宋" w:eastAsia="仿宋" w:cs="仿宋"/>
          <w:sz w:val="32"/>
          <w:szCs w:val="32"/>
        </w:rPr>
        <w:t>分别是</w:t>
      </w:r>
      <w:r>
        <w:rPr>
          <w:rFonts w:hint="eastAsia" w:ascii="仿宋" w:hAnsi="仿宋" w:eastAsia="仿宋" w:cs="仿宋"/>
          <w:sz w:val="32"/>
          <w:szCs w:val="32"/>
          <w:lang w:eastAsia="zh-CN"/>
        </w:rPr>
        <w:t>办公室、工程股、养护股、财务股、安全机务股。</w:t>
      </w:r>
    </w:p>
    <w:p>
      <w:pPr>
        <w:widowControl/>
        <w:spacing w:line="600" w:lineRule="exact"/>
        <w:ind w:firstLine="630" w:firstLineChars="196"/>
        <w:jc w:val="left"/>
        <w:rPr>
          <w:rFonts w:eastAsia="楷体_GB2312"/>
          <w:b/>
          <w:sz w:val="32"/>
          <w:szCs w:val="32"/>
        </w:rPr>
      </w:pPr>
      <w:r>
        <w:rPr>
          <w:rFonts w:eastAsia="楷体_GB2312"/>
          <w:b/>
          <w:sz w:val="32"/>
          <w:szCs w:val="32"/>
        </w:rPr>
        <w:t>（三）人员编制情况</w:t>
      </w:r>
    </w:p>
    <w:p>
      <w:pPr>
        <w:numPr>
          <w:ilvl w:val="0"/>
          <w:numId w:val="0"/>
        </w:numPr>
        <w:ind w:firstLine="640" w:firstLineChars="200"/>
        <w:rPr>
          <w:rFonts w:hint="eastAsia" w:ascii="黑体" w:hAnsi="Times New Roman" w:eastAsia="黑体" w:cs="Times New Roman"/>
          <w:sz w:val="32"/>
          <w:szCs w:val="32"/>
        </w:rPr>
      </w:pPr>
      <w:r>
        <w:rPr>
          <w:rFonts w:eastAsia="仿宋_GB2312"/>
          <w:sz w:val="32"/>
          <w:szCs w:val="32"/>
        </w:rPr>
        <w:t>20</w:t>
      </w:r>
      <w:r>
        <w:rPr>
          <w:rFonts w:hint="eastAsia" w:eastAsia="仿宋_GB2312"/>
          <w:sz w:val="32"/>
          <w:szCs w:val="32"/>
          <w:lang w:val="en-US" w:eastAsia="zh-CN"/>
        </w:rPr>
        <w:t>23</w:t>
      </w:r>
      <w:bookmarkStart w:id="0" w:name="_GoBack"/>
      <w:bookmarkEnd w:id="0"/>
      <w:r>
        <w:rPr>
          <w:rFonts w:eastAsia="仿宋_GB2312"/>
          <w:sz w:val="32"/>
          <w:szCs w:val="32"/>
        </w:rPr>
        <w:t>年末，我单位共有编制</w:t>
      </w:r>
      <w:r>
        <w:rPr>
          <w:rFonts w:hint="eastAsia" w:eastAsia="仿宋_GB2312"/>
          <w:sz w:val="32"/>
          <w:szCs w:val="32"/>
          <w:lang w:val="en-US" w:eastAsia="zh-CN"/>
        </w:rPr>
        <w:t xml:space="preserve"> 41</w:t>
      </w:r>
      <w:r>
        <w:rPr>
          <w:rFonts w:eastAsia="仿宋_GB2312"/>
          <w:sz w:val="32"/>
          <w:szCs w:val="32"/>
        </w:rPr>
        <w:t>人，其中行政编制</w:t>
      </w:r>
      <w:r>
        <w:rPr>
          <w:rFonts w:hint="eastAsia" w:eastAsia="仿宋_GB2312"/>
          <w:sz w:val="32"/>
          <w:szCs w:val="32"/>
          <w:lang w:val="en-US" w:eastAsia="zh-CN"/>
        </w:rPr>
        <w:t xml:space="preserve"> 0 </w:t>
      </w:r>
      <w:r>
        <w:rPr>
          <w:rFonts w:eastAsia="仿宋_GB2312"/>
          <w:sz w:val="32"/>
          <w:szCs w:val="32"/>
        </w:rPr>
        <w:t>人，事业编制</w:t>
      </w:r>
      <w:r>
        <w:rPr>
          <w:rFonts w:hint="eastAsia" w:eastAsia="仿宋_GB2312"/>
          <w:sz w:val="32"/>
          <w:szCs w:val="32"/>
          <w:lang w:val="en-US" w:eastAsia="zh-CN"/>
        </w:rPr>
        <w:t xml:space="preserve"> 41</w:t>
      </w:r>
      <w:r>
        <w:rPr>
          <w:rFonts w:eastAsia="仿宋_GB2312"/>
          <w:sz w:val="32"/>
          <w:szCs w:val="32"/>
        </w:rPr>
        <w:t>人。年末实有在职人员</w:t>
      </w:r>
      <w:r>
        <w:rPr>
          <w:rFonts w:hint="eastAsia" w:eastAsia="仿宋_GB2312"/>
          <w:sz w:val="32"/>
          <w:szCs w:val="32"/>
          <w:lang w:val="en-US" w:eastAsia="zh-CN"/>
        </w:rPr>
        <w:t xml:space="preserve">  33</w:t>
      </w:r>
      <w:r>
        <w:rPr>
          <w:rFonts w:eastAsia="仿宋_GB2312"/>
          <w:sz w:val="32"/>
          <w:szCs w:val="32"/>
        </w:rPr>
        <w:t>人，</w:t>
      </w:r>
      <w:r>
        <w:rPr>
          <w:rFonts w:hint="eastAsia" w:eastAsia="仿宋_GB2312"/>
          <w:sz w:val="32"/>
          <w:szCs w:val="32"/>
          <w:lang w:eastAsia="zh-CN"/>
        </w:rPr>
        <w:t>退</w:t>
      </w:r>
      <w:r>
        <w:rPr>
          <w:rFonts w:eastAsia="仿宋_GB2312"/>
          <w:sz w:val="32"/>
          <w:szCs w:val="32"/>
        </w:rPr>
        <w:t>休人员</w:t>
      </w:r>
      <w:r>
        <w:rPr>
          <w:rFonts w:hint="eastAsia" w:eastAsia="仿宋_GB2312"/>
          <w:sz w:val="32"/>
          <w:szCs w:val="32"/>
          <w:lang w:val="en-US" w:eastAsia="zh-CN"/>
        </w:rPr>
        <w:t xml:space="preserve">26 </w:t>
      </w:r>
      <w:r>
        <w:rPr>
          <w:rFonts w:eastAsia="仿宋_GB2312"/>
          <w:sz w:val="32"/>
          <w:szCs w:val="32"/>
        </w:rPr>
        <w:t>人。</w:t>
      </w:r>
    </w:p>
    <w:p>
      <w:pPr>
        <w:widowControl/>
        <w:numPr>
          <w:ilvl w:val="0"/>
          <w:numId w:val="2"/>
        </w:num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一般公共预算支出情况</w:t>
      </w:r>
    </w:p>
    <w:p>
      <w:pPr>
        <w:widowControl/>
        <w:numPr>
          <w:ilvl w:val="0"/>
          <w:numId w:val="0"/>
        </w:numPr>
        <w:spacing w:line="600" w:lineRule="exact"/>
        <w:ind w:firstLine="643" w:firstLineChars="200"/>
        <w:rPr>
          <w:rFonts w:hint="eastAsia"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pPr>
        <w:tabs>
          <w:tab w:val="left" w:pos="2296"/>
        </w:tabs>
        <w:spacing w:line="600" w:lineRule="exact"/>
        <w:ind w:firstLine="640" w:firstLineChars="200"/>
        <w:rPr>
          <w:rFonts w:eastAsia="仿宋_GB2312"/>
          <w:sz w:val="32"/>
          <w:szCs w:val="32"/>
        </w:rPr>
      </w:pPr>
      <w:r>
        <w:rPr>
          <w:rFonts w:eastAsia="仿宋_GB2312"/>
          <w:sz w:val="32"/>
          <w:szCs w:val="32"/>
        </w:rPr>
        <w:t>基本支出系保障我</w:t>
      </w:r>
      <w:r>
        <w:rPr>
          <w:rFonts w:hint="eastAsia" w:eastAsia="仿宋_GB2312"/>
          <w:sz w:val="32"/>
          <w:szCs w:val="32"/>
          <w:lang w:eastAsia="zh-CN"/>
        </w:rPr>
        <w:t>单位</w:t>
      </w:r>
      <w:r>
        <w:rPr>
          <w:rFonts w:eastAsia="仿宋_GB2312"/>
          <w:sz w:val="32"/>
          <w:szCs w:val="32"/>
        </w:rPr>
        <w:t>机构正常运转、完成日常工作任务而发生的各项支出，包括用于在职和离退休人员基本工资、津贴补贴等人员经费以及办公费、印刷费、水电费、办公设备购置等日常公用经费。20</w:t>
      </w:r>
      <w:r>
        <w:rPr>
          <w:rFonts w:hint="eastAsia" w:eastAsia="仿宋_GB2312"/>
          <w:sz w:val="32"/>
          <w:szCs w:val="32"/>
          <w:lang w:val="en-US" w:eastAsia="zh-CN"/>
        </w:rPr>
        <w:t>23</w:t>
      </w:r>
      <w:r>
        <w:rPr>
          <w:rFonts w:eastAsia="仿宋_GB2312"/>
          <w:sz w:val="32"/>
          <w:szCs w:val="32"/>
        </w:rPr>
        <w:t>年基本支出</w:t>
      </w:r>
      <w:r>
        <w:rPr>
          <w:rFonts w:hint="eastAsia" w:eastAsia="仿宋_GB2312"/>
          <w:sz w:val="32"/>
          <w:szCs w:val="32"/>
          <w:lang w:val="en-US" w:eastAsia="zh-CN"/>
        </w:rPr>
        <w:t>716.53</w:t>
      </w:r>
      <w:r>
        <w:rPr>
          <w:rFonts w:eastAsia="仿宋_GB2312"/>
          <w:sz w:val="32"/>
          <w:szCs w:val="32"/>
        </w:rPr>
        <w:t>万元，</w:t>
      </w:r>
      <w:r>
        <w:rPr>
          <w:rFonts w:hint="eastAsia" w:eastAsia="仿宋_GB2312"/>
          <w:color w:val="000000"/>
          <w:sz w:val="32"/>
          <w:szCs w:val="32"/>
          <w:lang w:eastAsia="zh-CN"/>
        </w:rPr>
        <w:t>与上年基本持平</w:t>
      </w:r>
      <w:r>
        <w:rPr>
          <w:rFonts w:eastAsia="仿宋_GB2312"/>
          <w:sz w:val="32"/>
          <w:szCs w:val="32"/>
        </w:rPr>
        <w:t>。</w:t>
      </w:r>
      <w:r>
        <w:rPr>
          <w:rFonts w:eastAsia="仿宋_GB2312"/>
          <w:color w:val="000000"/>
          <w:sz w:val="32"/>
          <w:szCs w:val="32"/>
        </w:rPr>
        <w:t>基本支出中人员经费</w:t>
      </w:r>
      <w:r>
        <w:rPr>
          <w:rFonts w:hint="eastAsia" w:eastAsia="仿宋_GB2312"/>
          <w:color w:val="000000"/>
          <w:sz w:val="32"/>
          <w:szCs w:val="32"/>
          <w:lang w:val="en-US" w:eastAsia="zh-CN"/>
        </w:rPr>
        <w:t>558.95</w:t>
      </w:r>
      <w:r>
        <w:rPr>
          <w:rFonts w:eastAsia="仿宋_GB2312"/>
          <w:color w:val="000000"/>
          <w:sz w:val="32"/>
          <w:szCs w:val="32"/>
        </w:rPr>
        <w:t>万元</w:t>
      </w:r>
      <w:r>
        <w:rPr>
          <w:rFonts w:hint="eastAsia" w:eastAsia="仿宋_GB2312"/>
          <w:color w:val="000000"/>
          <w:sz w:val="32"/>
          <w:szCs w:val="32"/>
          <w:lang w:eastAsia="zh-CN"/>
        </w:rPr>
        <w:t>；</w:t>
      </w:r>
      <w:r>
        <w:rPr>
          <w:rFonts w:eastAsia="仿宋_GB2312"/>
          <w:color w:val="000000"/>
          <w:sz w:val="32"/>
          <w:szCs w:val="32"/>
        </w:rPr>
        <w:t>日常公用经费</w:t>
      </w:r>
      <w:r>
        <w:rPr>
          <w:rFonts w:hint="eastAsia" w:eastAsia="仿宋_GB2312"/>
          <w:color w:val="000000"/>
          <w:sz w:val="32"/>
          <w:szCs w:val="32"/>
          <w:lang w:val="en-US" w:eastAsia="zh-CN"/>
        </w:rPr>
        <w:t>86.62</w:t>
      </w:r>
      <w:r>
        <w:rPr>
          <w:rFonts w:eastAsia="仿宋_GB2312"/>
          <w:color w:val="000000"/>
          <w:sz w:val="32"/>
          <w:szCs w:val="32"/>
        </w:rPr>
        <w:t>万元</w:t>
      </w:r>
      <w:r>
        <w:rPr>
          <w:rFonts w:hint="eastAsia" w:eastAsia="仿宋_GB2312"/>
          <w:color w:val="000000"/>
          <w:sz w:val="32"/>
          <w:szCs w:val="32"/>
          <w:lang w:eastAsia="zh-CN"/>
        </w:rPr>
        <w:t>。</w:t>
      </w:r>
    </w:p>
    <w:p>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tabs>
          <w:tab w:val="left" w:pos="2296"/>
        </w:tabs>
        <w:spacing w:line="600" w:lineRule="exact"/>
        <w:ind w:firstLine="640" w:firstLineChars="200"/>
        <w:rPr>
          <w:rFonts w:hint="eastAsia" w:ascii="Times New Roman" w:hAnsi="Times New Roman" w:eastAsia="仿宋_GB2312" w:cs="Times New Roman"/>
          <w:sz w:val="32"/>
          <w:szCs w:val="32"/>
          <w:lang w:val="en-US" w:eastAsia="zh-CN"/>
        </w:rPr>
      </w:pPr>
      <w:r>
        <w:rPr>
          <w:rFonts w:eastAsia="仿宋_GB2312"/>
          <w:sz w:val="32"/>
          <w:szCs w:val="32"/>
        </w:rPr>
        <w:t>项目支出系我</w:t>
      </w:r>
      <w:r>
        <w:rPr>
          <w:rFonts w:hint="eastAsia" w:eastAsia="仿宋_GB2312"/>
          <w:sz w:val="32"/>
          <w:szCs w:val="32"/>
          <w:lang w:eastAsia="zh-CN"/>
        </w:rPr>
        <w:t>单位</w:t>
      </w:r>
      <w:r>
        <w:rPr>
          <w:rFonts w:eastAsia="仿宋_GB2312"/>
          <w:sz w:val="32"/>
          <w:szCs w:val="32"/>
        </w:rPr>
        <w:t>为完成财政财务管理工作而发生的支出，包括行业务工作经费和运行维护经费。业务工作经费支出主要用于部门预决算编制、非税收入稽查、</w:t>
      </w:r>
      <w:r>
        <w:rPr>
          <w:rFonts w:hint="eastAsia" w:eastAsia="仿宋_GB2312"/>
          <w:sz w:val="32"/>
          <w:szCs w:val="32"/>
          <w:lang w:eastAsia="zh-CN"/>
        </w:rPr>
        <w:t>财政投资评审、政府采购……</w:t>
      </w:r>
      <w:r>
        <w:rPr>
          <w:rFonts w:eastAsia="仿宋_GB2312"/>
          <w:sz w:val="32"/>
          <w:szCs w:val="32"/>
        </w:rPr>
        <w:t>等全省财政系统信息网络建设和维护以及机关大院房屋设备维修维护等方面。20</w:t>
      </w:r>
      <w:r>
        <w:rPr>
          <w:rFonts w:hint="eastAsia" w:eastAsia="仿宋_GB2312"/>
          <w:sz w:val="32"/>
          <w:szCs w:val="32"/>
          <w:lang w:val="en-US" w:eastAsia="zh-CN"/>
        </w:rPr>
        <w:t>23</w:t>
      </w:r>
      <w:r>
        <w:rPr>
          <w:rFonts w:eastAsia="仿宋_GB2312"/>
          <w:sz w:val="32"/>
          <w:szCs w:val="32"/>
        </w:rPr>
        <w:t>年项目支出</w:t>
      </w:r>
      <w:r>
        <w:rPr>
          <w:rFonts w:hint="eastAsia" w:eastAsia="仿宋_GB2312"/>
          <w:sz w:val="32"/>
          <w:szCs w:val="32"/>
          <w:lang w:val="en-US" w:eastAsia="zh-CN"/>
        </w:rPr>
        <w:t>1162.32</w:t>
      </w:r>
      <w:r>
        <w:rPr>
          <w:rFonts w:eastAsia="仿宋_GB2312"/>
          <w:sz w:val="32"/>
          <w:szCs w:val="32"/>
        </w:rPr>
        <w:t>万元</w:t>
      </w:r>
      <w:r>
        <w:rPr>
          <w:rFonts w:hint="eastAsia" w:eastAsia="仿宋_GB2312"/>
          <w:sz w:val="32"/>
          <w:szCs w:val="32"/>
          <w:lang w:val="en-US" w:eastAsia="zh-CN"/>
        </w:rPr>
        <w:t>.</w:t>
      </w:r>
    </w:p>
    <w:p>
      <w:pPr>
        <w:widowControl/>
        <w:numPr>
          <w:ilvl w:val="0"/>
          <w:numId w:val="0"/>
        </w:numPr>
        <w:spacing w:line="600" w:lineRule="exact"/>
        <w:ind w:leftChars="0"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三、</w:t>
      </w:r>
      <w:r>
        <w:rPr>
          <w:rFonts w:ascii="Times New Roman" w:hAnsi="Times New Roman" w:eastAsia="黑体" w:cs="Times New Roman"/>
          <w:sz w:val="32"/>
          <w:szCs w:val="32"/>
        </w:rPr>
        <w:t>部门整体支出绩效情况</w:t>
      </w:r>
    </w:p>
    <w:p>
      <w:pPr>
        <w:widowControl/>
        <w:numPr>
          <w:ilvl w:val="0"/>
          <w:numId w:val="0"/>
        </w:numPr>
        <w:spacing w:line="600" w:lineRule="exact"/>
        <w:ind w:leftChars="0" w:firstLine="640" w:firstLineChars="200"/>
        <w:jc w:val="left"/>
        <w:rPr>
          <w:rFonts w:ascii="Times New Roman" w:hAnsi="Times New Roman"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年是极不平凡、极其不易的一年。全</w:t>
      </w:r>
      <w:r>
        <w:rPr>
          <w:rFonts w:hint="eastAsia" w:ascii="Times New Roman" w:hAnsi="Times New Roman" w:eastAsia="仿宋_GB2312"/>
          <w:sz w:val="32"/>
          <w:szCs w:val="32"/>
          <w:lang w:eastAsia="zh-CN"/>
        </w:rPr>
        <w:t>区</w:t>
      </w:r>
      <w:r>
        <w:rPr>
          <w:rFonts w:ascii="Times New Roman" w:hAnsi="Times New Roman" w:eastAsia="仿宋_GB2312"/>
          <w:sz w:val="32"/>
          <w:szCs w:val="32"/>
        </w:rPr>
        <w:t>财政收入大幅下滑，收支矛盾异常突出。全年预算执行总体良好，各项工作任务圆满完成，</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eastAsia" w:ascii="Times New Roman" w:hAnsi="Times New Roman" w:eastAsia="黑体" w:cs="Times New Roman"/>
          <w:sz w:val="32"/>
          <w:szCs w:val="32"/>
        </w:rPr>
        <w:t>、</w:t>
      </w:r>
      <w:r>
        <w:rPr>
          <w:rFonts w:ascii="Times New Roman" w:hAnsi="Times New Roman" w:eastAsia="黑体" w:cs="Times New Roman"/>
          <w:sz w:val="32"/>
          <w:szCs w:val="32"/>
        </w:rPr>
        <w:t>存在的问题及原因分析</w:t>
      </w:r>
    </w:p>
    <w:p>
      <w:pPr>
        <w:spacing w:line="600" w:lineRule="exact"/>
        <w:ind w:firstLine="640" w:firstLineChars="200"/>
        <w:rPr>
          <w:rFonts w:eastAsia="仿宋_GB2312"/>
          <w:sz w:val="32"/>
          <w:szCs w:val="32"/>
        </w:rPr>
      </w:pPr>
      <w:r>
        <w:rPr>
          <w:rFonts w:eastAsia="仿宋_GB2312"/>
          <w:sz w:val="32"/>
          <w:szCs w:val="32"/>
        </w:rPr>
        <w:t>通过前述对我厅整体支出情况的分析，反映出目前整体支出主要在预算执行方面还存在一些问题和不足：</w:t>
      </w:r>
    </w:p>
    <w:p>
      <w:pPr>
        <w:spacing w:line="600" w:lineRule="exact"/>
        <w:ind w:firstLine="643" w:firstLineChars="200"/>
        <w:rPr>
          <w:rFonts w:hint="eastAsia" w:ascii="Calibri" w:hAnsi="Calibri" w:eastAsia="楷体_GB2312" w:cs="Times New Roman"/>
          <w:b/>
          <w:sz w:val="32"/>
          <w:szCs w:val="32"/>
          <w:lang w:eastAsia="zh-CN"/>
        </w:rPr>
      </w:pPr>
      <w:r>
        <w:rPr>
          <w:rFonts w:hint="eastAsia" w:ascii="Calibri" w:hAnsi="Calibri" w:eastAsia="楷体_GB2312" w:cs="Times New Roman"/>
          <w:b/>
          <w:sz w:val="32"/>
          <w:szCs w:val="32"/>
          <w:lang w:eastAsia="zh-CN"/>
        </w:rPr>
        <w:t>（一）部分项目完成度有待提升。</w:t>
      </w:r>
    </w:p>
    <w:p>
      <w:pPr>
        <w:spacing w:line="600" w:lineRule="exact"/>
        <w:ind w:firstLine="640" w:firstLineChars="200"/>
        <w:rPr>
          <w:rFonts w:hint="eastAsia" w:eastAsia="仿宋_GB2312"/>
          <w:sz w:val="32"/>
          <w:szCs w:val="32"/>
          <w:lang w:eastAsia="zh-CN"/>
        </w:rPr>
      </w:pPr>
      <w:r>
        <w:rPr>
          <w:rFonts w:hint="eastAsia" w:eastAsia="仿宋_GB2312"/>
          <w:sz w:val="32"/>
          <w:szCs w:val="32"/>
        </w:rPr>
        <w:t>我们将在</w:t>
      </w:r>
      <w:r>
        <w:rPr>
          <w:rFonts w:eastAsia="仿宋_GB2312"/>
          <w:sz w:val="32"/>
          <w:szCs w:val="32"/>
        </w:rPr>
        <w:t>下年加以重视，</w:t>
      </w:r>
      <w:r>
        <w:rPr>
          <w:rFonts w:hint="eastAsia" w:eastAsia="仿宋_GB2312"/>
          <w:sz w:val="32"/>
          <w:szCs w:val="32"/>
        </w:rPr>
        <w:t>提前谋划，</w:t>
      </w:r>
      <w:r>
        <w:rPr>
          <w:rFonts w:hint="eastAsia" w:eastAsia="仿宋_GB2312"/>
          <w:sz w:val="32"/>
          <w:szCs w:val="32"/>
          <w:lang w:eastAsia="zh-CN"/>
        </w:rPr>
        <w:t>科学编制项目预算，进一步提高预算编制的精确性。</w:t>
      </w:r>
      <w:r>
        <w:rPr>
          <w:rFonts w:hint="eastAsia" w:eastAsia="仿宋_GB2312"/>
          <w:sz w:val="32"/>
          <w:szCs w:val="32"/>
          <w:lang w:val="en-US" w:eastAsia="zh-CN"/>
        </w:rPr>
        <w:t xml:space="preserve">    </w:t>
      </w:r>
    </w:p>
    <w:p>
      <w:pPr>
        <w:spacing w:line="600" w:lineRule="exact"/>
        <w:ind w:firstLine="643" w:firstLineChars="200"/>
        <w:rPr>
          <w:rFonts w:hint="eastAsia" w:ascii="Calibri" w:hAnsi="Calibri" w:eastAsia="楷体_GB2312" w:cs="Times New Roman"/>
          <w:b/>
          <w:sz w:val="32"/>
          <w:szCs w:val="32"/>
          <w:lang w:eastAsia="zh-CN"/>
        </w:rPr>
      </w:pPr>
      <w:r>
        <w:rPr>
          <w:rFonts w:hint="eastAsia" w:ascii="Calibri" w:hAnsi="Calibri" w:eastAsia="楷体_GB2312" w:cs="Times New Roman"/>
          <w:b/>
          <w:sz w:val="32"/>
          <w:szCs w:val="32"/>
          <w:lang w:eastAsia="zh-CN"/>
        </w:rPr>
        <w:t>（二）部分项目实施与预算执行存在脱节。</w:t>
      </w:r>
    </w:p>
    <w:p>
      <w:pPr>
        <w:numPr>
          <w:ilvl w:val="0"/>
          <w:numId w:val="0"/>
        </w:num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部分项目启动较晚，实施周期相对较长，导致项目验收晚，预算执行进度偏慢，相对比较集中。</w:t>
      </w:r>
      <w:r>
        <w:rPr>
          <w:rFonts w:hint="eastAsia" w:eastAsia="仿宋_GB2312"/>
          <w:sz w:val="32"/>
          <w:szCs w:val="32"/>
          <w:lang w:val="en-US" w:eastAsia="zh-CN"/>
        </w:rPr>
        <w:t>我们将在下年予以重视，督促项目实施单位早启动、早实施、早验收，对符合条件的项目按照项目进度支付相关款项。</w:t>
      </w:r>
    </w:p>
    <w:p>
      <w:pPr>
        <w:widowControl/>
        <w:numPr>
          <w:ilvl w:val="0"/>
          <w:numId w:val="3"/>
        </w:num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下一步改进措施</w:t>
      </w:r>
    </w:p>
    <w:p>
      <w:pPr>
        <w:spacing w:line="600" w:lineRule="exact"/>
        <w:ind w:firstLine="640" w:firstLineChars="200"/>
        <w:rPr>
          <w:rFonts w:eastAsia="仿宋_GB2312"/>
          <w:sz w:val="32"/>
          <w:szCs w:val="32"/>
        </w:rPr>
      </w:pPr>
      <w:r>
        <w:rPr>
          <w:rFonts w:eastAsia="仿宋_GB2312"/>
          <w:sz w:val="32"/>
          <w:szCs w:val="32"/>
        </w:rPr>
        <w:t>针对上述存在的问题，拟采取以下改进措施：</w:t>
      </w:r>
    </w:p>
    <w:p>
      <w:pPr>
        <w:widowControl/>
        <w:numPr>
          <w:ilvl w:val="0"/>
          <w:numId w:val="0"/>
        </w:numPr>
        <w:spacing w:line="600" w:lineRule="exact"/>
        <w:ind w:firstLine="640" w:firstLineChars="200"/>
        <w:jc w:val="left"/>
        <w:rPr>
          <w:rFonts w:hint="default" w:ascii="宋体" w:hAnsi="宋体" w:eastAsia="宋体" w:cs="宋体"/>
          <w:sz w:val="30"/>
          <w:szCs w:val="30"/>
          <w:lang w:val="en-US" w:eastAsia="zh-CN"/>
        </w:rPr>
      </w:pPr>
      <w:r>
        <w:rPr>
          <w:rFonts w:hint="eastAsia" w:ascii="仿宋_GB2312" w:hAnsi="仿宋_GB2312" w:eastAsia="仿宋_GB2312" w:cs="仿宋_GB2312"/>
          <w:b w:val="0"/>
          <w:bCs/>
          <w:sz w:val="32"/>
          <w:szCs w:val="32"/>
          <w:lang w:val="en-US" w:eastAsia="zh-CN"/>
        </w:rPr>
        <w:t>强化预算管理，定期开展预算执行分析。</w:t>
      </w:r>
      <w:r>
        <w:rPr>
          <w:rFonts w:hint="eastAsia" w:eastAsia="仿宋_GB2312"/>
          <w:sz w:val="32"/>
          <w:szCs w:val="32"/>
          <w:lang w:val="en-US" w:eastAsia="zh-CN"/>
        </w:rPr>
        <w:t>通过定期对项目实施和预算执行情况进行梳理，及时掌握项目进度，督促项目实施单位早启动、早实施、早验收，对符合条件的项目按照项目进度支付相关款项，将预算资金管理贯穿于项目实施全过程中。对未启动项目及时分析原因，根据资金使用情况调整下年预算安排。</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39CCF1"/>
    <w:multiLevelType w:val="singleLevel"/>
    <w:tmpl w:val="F639CCF1"/>
    <w:lvl w:ilvl="0" w:tentative="0">
      <w:start w:val="2"/>
      <w:numFmt w:val="chineseCounting"/>
      <w:suff w:val="nothing"/>
      <w:lvlText w:val="%1、"/>
      <w:lvlJc w:val="left"/>
      <w:rPr>
        <w:rFonts w:hint="eastAsia"/>
      </w:rPr>
    </w:lvl>
  </w:abstractNum>
  <w:abstractNum w:abstractNumId="1">
    <w:nsid w:val="43ABBE84"/>
    <w:multiLevelType w:val="singleLevel"/>
    <w:tmpl w:val="43ABBE84"/>
    <w:lvl w:ilvl="0" w:tentative="0">
      <w:start w:val="8"/>
      <w:numFmt w:val="decimal"/>
      <w:suff w:val="nothing"/>
      <w:lvlText w:val="%1、"/>
      <w:lvlJc w:val="left"/>
      <w:pPr>
        <w:ind w:left="787" w:leftChars="0" w:firstLine="0" w:firstLineChars="0"/>
      </w:pPr>
    </w:lvl>
  </w:abstractNum>
  <w:abstractNum w:abstractNumId="2">
    <w:nsid w:val="692A871F"/>
    <w:multiLevelType w:val="singleLevel"/>
    <w:tmpl w:val="692A871F"/>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lODAxOWU4MWVjNWU3NDk2YzIwNWE4MjNmN2JjMjkifQ=="/>
  </w:docVars>
  <w:rsids>
    <w:rsidRoot w:val="58E06247"/>
    <w:rsid w:val="00881676"/>
    <w:rsid w:val="00C13948"/>
    <w:rsid w:val="05AE432D"/>
    <w:rsid w:val="0AF24663"/>
    <w:rsid w:val="102C6660"/>
    <w:rsid w:val="149B2A0B"/>
    <w:rsid w:val="1C354A9A"/>
    <w:rsid w:val="20E67351"/>
    <w:rsid w:val="21C3253A"/>
    <w:rsid w:val="23D235E8"/>
    <w:rsid w:val="28606852"/>
    <w:rsid w:val="29121970"/>
    <w:rsid w:val="29EF7861"/>
    <w:rsid w:val="2A7501E7"/>
    <w:rsid w:val="30BE2A8F"/>
    <w:rsid w:val="30FD03F1"/>
    <w:rsid w:val="34C06E79"/>
    <w:rsid w:val="36DE04F9"/>
    <w:rsid w:val="39C94B12"/>
    <w:rsid w:val="3AE90F77"/>
    <w:rsid w:val="3C7F6A52"/>
    <w:rsid w:val="429F3322"/>
    <w:rsid w:val="43102595"/>
    <w:rsid w:val="4A1504A0"/>
    <w:rsid w:val="4D7A0CA5"/>
    <w:rsid w:val="518B2718"/>
    <w:rsid w:val="52C14B04"/>
    <w:rsid w:val="554F24DE"/>
    <w:rsid w:val="55A02E49"/>
    <w:rsid w:val="58E06247"/>
    <w:rsid w:val="5B033E43"/>
    <w:rsid w:val="5CAE223F"/>
    <w:rsid w:val="5DA220D3"/>
    <w:rsid w:val="5FA03361"/>
    <w:rsid w:val="64A2122F"/>
    <w:rsid w:val="6713109A"/>
    <w:rsid w:val="67B42849"/>
    <w:rsid w:val="6FF6744B"/>
    <w:rsid w:val="71282012"/>
    <w:rsid w:val="71BD756A"/>
    <w:rsid w:val="751B6785"/>
    <w:rsid w:val="7663439A"/>
    <w:rsid w:val="7BE7116A"/>
    <w:rsid w:val="7FB26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样式3"/>
    <w:basedOn w:val="1"/>
    <w:qFormat/>
    <w:uiPriority w:val="0"/>
    <w:rPr>
      <w:rFonts w:ascii="Times New Roman" w:hAnsi="Times New Roman" w:eastAsia="仿宋_GB2312" w:cs="Times New Roman"/>
      <w:spacing w:val="113"/>
      <w:sz w:val="32"/>
    </w:rPr>
  </w:style>
  <w:style w:type="paragraph" w:customStyle="1" w:styleId="8">
    <w:name w:val="样式4"/>
    <w:basedOn w:val="1"/>
    <w:qFormat/>
    <w:uiPriority w:val="0"/>
    <w:rPr>
      <w:rFonts w:ascii="Times New Roman" w:hAnsi="Times New Roman" w:eastAsia="仿宋_GB2312" w:cs="Times New Roman"/>
      <w:snapToGrid w:val="0"/>
      <w:spacing w:val="79"/>
      <w:sz w:val="32"/>
    </w:rPr>
  </w:style>
  <w:style w:type="paragraph" w:customStyle="1" w:styleId="9">
    <w:name w:val="样式6"/>
    <w:basedOn w:val="1"/>
    <w:qFormat/>
    <w:uiPriority w:val="0"/>
    <w:rPr>
      <w:rFonts w:ascii="Times New Roman" w:hAnsi="Times New Roman" w:eastAsia="仿宋_GB2312" w:cs="Times New Roman"/>
      <w:spacing w:val="57"/>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2309</Words>
  <Characters>2376</Characters>
  <Lines>0</Lines>
  <Paragraphs>0</Paragraphs>
  <TotalTime>63</TotalTime>
  <ScaleCrop>false</ScaleCrop>
  <LinksUpToDate>false</LinksUpToDate>
  <CharactersWithSpaces>2406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2020-10-27T13:06:00Z</dcterms:created>
  <dc:creator>Administrator</dc:creator>
  <cp:lastModifiedBy>Administrator</cp:lastModifiedBy>
  <cp:lastPrinted>2024-03-25T07:58:40Z</cp:lastPrinted>
  <dcterms:modified xsi:type="dcterms:W3CDTF">2024-03-25T08:05:47Z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C6C1B81C5E274830BB5C116387B7F1AF</vt:lpwstr>
  </property>
</Properties>
</file>