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中共南岳区委党史研究室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年度部门整体支出绩效评价报告</w:t>
      </w:r>
    </w:p>
    <w:p>
      <w:pPr>
        <w:pStyle w:val="4"/>
      </w:pPr>
    </w:p>
    <w:p>
      <w:pPr>
        <w:spacing w:line="60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根据《中共中央 国务院关于全面实施预算绩效管理的意见》的文件精神，我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对部门整体支出进行了绩效评价，现报告如下：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  <w:lang w:eastAsia="zh-CN"/>
        </w:rPr>
        <w:t>一、</w:t>
      </w:r>
      <w:r>
        <w:rPr>
          <w:rFonts w:hint="eastAsia" w:ascii="黑体" w:hAnsi="Times New Roman" w:eastAsia="黑体" w:cs="Times New Roman"/>
          <w:sz w:val="32"/>
          <w:szCs w:val="32"/>
        </w:rPr>
        <w:t>部门（单位）基本情况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napToGrid w:val="0"/>
          <w:kern w:val="0"/>
          <w:sz w:val="32"/>
          <w:szCs w:val="32"/>
        </w:rPr>
      </w:pPr>
      <w:r>
        <w:rPr>
          <w:rFonts w:eastAsia="楷体_GB2312"/>
          <w:b/>
          <w:snapToGrid w:val="0"/>
          <w:kern w:val="0"/>
          <w:sz w:val="32"/>
          <w:szCs w:val="32"/>
        </w:rPr>
        <w:t>（一）部门职能职责</w:t>
      </w:r>
    </w:p>
    <w:p>
      <w:pPr>
        <w:spacing w:line="6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中共南岳区委党史研究室，区委直属正科级公益类事业单位，主要负责区志、特色志、年鉴、党史的编纂出版发行；指导全区各类专业志的编修、审稿；收集、整理、编纂其他各类文史资料。</w:t>
      </w:r>
    </w:p>
    <w:p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1.贯彻执行党和国家有关党史和地方志工作的方针政策和法律法规，拟订本区党史、地方志编修工作规划并组织实施。</w:t>
      </w:r>
    </w:p>
    <w:p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2.负责征集全区各个时期的党史资料。负责对全区重大党史事件、重要党史人物进行专题研究。组织开展全区文献和南岳地方党史研究，总结历史经验，提供历史借鉴。</w:t>
      </w:r>
    </w:p>
    <w:p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组织编纂出版南岳区地方党史、党史大事记、南岳区执政纪事、老同志回忆录、中国共产党南岳地方组织史、党史人物传记以及党史普及教育读物，负责党史资料和党史研究成果的转化利用，开展各种形式的党史宣传教育，充分发挥党史存史、资政、育人的作用。参与组织重大党史事件、重要党史人物的纪念活动。会同有关部门做好全区重大党史题材出版物、影视音像作品的史料审查工作。</w:t>
      </w:r>
    </w:p>
    <w:p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4.组织编修《南岳区志》、《南岳年鉴》、部门志、专业志、专业年鉴，以及区志丛书等工作，为社会各界提供服务。</w:t>
      </w:r>
    </w:p>
    <w:p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5.指导全区各部门专业志和综合年鉴的编纂工作。组织对各级志书、年鉴稿进行评审、验收、出版和评价。负责全区党史、地方志工作队伍的业务培训。</w:t>
      </w:r>
    </w:p>
    <w:p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6.负责老干部回忆录的征集、整理、出版。动员和组织老干部参与党史工作。组织指导全区党史联络工作，负责区委党史联络组的日常工作。</w:t>
      </w:r>
    </w:p>
    <w:p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7.负责党史和革命文物的征集，参与全区革命遗址的普查、保护、管理和利用。</w:t>
      </w:r>
    </w:p>
    <w:p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8.完成上级党史和地方志业务主管部门，以及区委、区政府交办的其他任务。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（二）机构设置情况</w:t>
      </w:r>
    </w:p>
    <w:p>
      <w:pPr>
        <w:spacing w:beforeLines="0" w:afterLines="0" w:line="600" w:lineRule="exact"/>
        <w:ind w:firstLine="640" w:firstLineChars="200"/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/>
          <w:sz w:val="32"/>
          <w:szCs w:val="24"/>
          <w:lang w:val="en-US"/>
        </w:rPr>
        <w:t>中共南岳区委党史研究室内设机构包括：办公室、党史股、方志股。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（三）人员编制情况</w:t>
      </w:r>
    </w:p>
    <w:p>
      <w:pPr>
        <w:spacing w:line="600" w:lineRule="exact"/>
        <w:ind w:firstLine="600" w:firstLineChars="200"/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</w:pPr>
      <w:r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20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2</w:t>
      </w:r>
      <w:r>
        <w:rPr>
          <w:rFonts w:hint="eastAsia" w:ascii="仿宋_GB2312" w:eastAsia="仿宋_GB2312" w:cstheme="minorBidi"/>
          <w:kern w:val="2"/>
          <w:sz w:val="30"/>
          <w:szCs w:val="30"/>
          <w:lang w:val="en-US" w:eastAsia="zh-CN" w:bidi="ar-SA"/>
        </w:rPr>
        <w:t>3</w:t>
      </w:r>
      <w:r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年末，我单位共有</w:t>
      </w:r>
      <w:r>
        <w:rPr>
          <w:rFonts w:hint="eastAsia" w:ascii="仿宋_GB2312" w:eastAsia="仿宋_GB2312" w:cstheme="minorBidi"/>
          <w:kern w:val="2"/>
          <w:sz w:val="30"/>
          <w:szCs w:val="30"/>
          <w:lang w:val="en-US" w:eastAsia="zh-CN" w:bidi="ar-SA"/>
        </w:rPr>
        <w:t>参照公务员法管理事业人员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编制</w:t>
      </w:r>
      <w:r>
        <w:rPr>
          <w:rFonts w:hint="eastAsia" w:ascii="仿宋_GB2312" w:eastAsia="仿宋_GB2312" w:cstheme="minorBidi"/>
          <w:kern w:val="2"/>
          <w:sz w:val="30"/>
          <w:szCs w:val="30"/>
          <w:lang w:val="en-US" w:eastAsia="zh-CN" w:bidi="ar-SA"/>
        </w:rPr>
        <w:t>12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人。</w:t>
      </w:r>
      <w:r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年末实有在职人员</w:t>
      </w:r>
      <w:r>
        <w:rPr>
          <w:rFonts w:hint="eastAsia" w:ascii="仿宋_GB2312" w:eastAsia="仿宋_GB2312" w:cstheme="minorBidi"/>
          <w:kern w:val="2"/>
          <w:sz w:val="30"/>
          <w:szCs w:val="30"/>
          <w:lang w:val="en-US" w:eastAsia="zh-CN" w:bidi="ar-SA"/>
        </w:rPr>
        <w:t>4</w:t>
      </w:r>
      <w:r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人，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退</w:t>
      </w:r>
      <w:r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休人员</w:t>
      </w:r>
      <w:r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 xml:space="preserve">0人 </w:t>
      </w:r>
      <w:r>
        <w:rPr>
          <w:rFonts w:hint="default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  <w:t>。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一般公共预算支出情况</w:t>
      </w:r>
    </w:p>
    <w:p>
      <w:pPr>
        <w:widowControl/>
        <w:numPr>
          <w:ilvl w:val="0"/>
          <w:numId w:val="0"/>
        </w:numPr>
        <w:spacing w:line="600" w:lineRule="exact"/>
        <w:ind w:firstLine="643" w:firstLineChars="200"/>
        <w:rPr>
          <w:rFonts w:hint="eastAsia" w:ascii="楷体_GB2312" w:hAnsi="Times New Roman" w:eastAsia="楷体_GB2312" w:cs="Times New Roman"/>
          <w:b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sz w:val="32"/>
          <w:szCs w:val="32"/>
        </w:rPr>
        <w:t>（一）基本支出情况</w:t>
      </w:r>
    </w:p>
    <w:p>
      <w:pPr>
        <w:tabs>
          <w:tab w:val="left" w:pos="2296"/>
        </w:tabs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基本支出系保障我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机构正常运转、完成日常工作任务而发生的各项支出，包括用于在职基本工资、津贴补贴等人员经费以及办公费、印刷费、水电费、办公设备购置等日常公用经费。20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年基本支出</w:t>
      </w:r>
      <w:r>
        <w:rPr>
          <w:rFonts w:hint="eastAsia" w:eastAsia="仿宋_GB2312"/>
          <w:sz w:val="32"/>
          <w:szCs w:val="32"/>
          <w:lang w:val="en-US" w:eastAsia="zh-CN"/>
        </w:rPr>
        <w:t>72.22</w:t>
      </w:r>
      <w:r>
        <w:rPr>
          <w:rFonts w:eastAsia="仿宋_GB2312"/>
          <w:sz w:val="32"/>
          <w:szCs w:val="32"/>
        </w:rPr>
        <w:t>万元，较上年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color w:val="000000"/>
          <w:sz w:val="32"/>
          <w:szCs w:val="32"/>
        </w:rPr>
        <w:t>基本支出中人员经费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61.67</w:t>
      </w:r>
      <w:r>
        <w:rPr>
          <w:rFonts w:eastAsia="仿宋_GB2312"/>
          <w:color w:val="000000"/>
          <w:sz w:val="32"/>
          <w:szCs w:val="32"/>
        </w:rPr>
        <w:t>万元，占基本支出的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85.4</w:t>
      </w:r>
      <w:r>
        <w:rPr>
          <w:rFonts w:eastAsia="仿宋_GB2312"/>
          <w:color w:val="000000"/>
          <w:sz w:val="32"/>
          <w:szCs w:val="32"/>
        </w:rPr>
        <w:t>%，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较上年增加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2.3%，主要是增加了人员工资和奖金支出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；</w:t>
      </w:r>
      <w:r>
        <w:rPr>
          <w:rFonts w:eastAsia="仿宋_GB2312"/>
          <w:color w:val="000000"/>
          <w:sz w:val="32"/>
          <w:szCs w:val="32"/>
        </w:rPr>
        <w:t>日常公用经费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10.55</w:t>
      </w:r>
      <w:r>
        <w:rPr>
          <w:rFonts w:eastAsia="仿宋_GB2312"/>
          <w:color w:val="000000"/>
          <w:sz w:val="32"/>
          <w:szCs w:val="32"/>
        </w:rPr>
        <w:t>万元，占基本支出的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14.6</w:t>
      </w:r>
      <w:r>
        <w:rPr>
          <w:rFonts w:eastAsia="仿宋_GB2312"/>
          <w:color w:val="000000"/>
          <w:sz w:val="32"/>
          <w:szCs w:val="32"/>
        </w:rPr>
        <w:t>%，较上年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下降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2.3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，主要原因是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单位厉行节约、严格把关，大力压减公用经费支出。</w:t>
      </w:r>
    </w:p>
    <w:p>
      <w:pPr>
        <w:widowControl/>
        <w:spacing w:line="600" w:lineRule="exact"/>
        <w:ind w:firstLine="643" w:firstLineChars="200"/>
        <w:rPr>
          <w:rFonts w:ascii="楷体_GB2312" w:hAnsi="Times New Roman" w:eastAsia="楷体_GB2312" w:cs="Times New Roman"/>
          <w:b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sz w:val="32"/>
          <w:szCs w:val="32"/>
        </w:rPr>
        <w:t>（二）</w:t>
      </w:r>
      <w:r>
        <w:rPr>
          <w:rFonts w:ascii="楷体_GB2312" w:hAnsi="Times New Roman" w:eastAsia="楷体_GB2312" w:cs="Times New Roman"/>
          <w:b/>
          <w:sz w:val="32"/>
          <w:szCs w:val="32"/>
        </w:rPr>
        <w:t>项目支出情况</w:t>
      </w:r>
    </w:p>
    <w:p>
      <w:pPr>
        <w:tabs>
          <w:tab w:val="left" w:pos="2296"/>
        </w:tabs>
        <w:spacing w:line="600" w:lineRule="exact"/>
        <w:ind w:firstLine="640" w:firstLineChars="200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eastAsia="仿宋_GB2312"/>
          <w:sz w:val="32"/>
          <w:szCs w:val="32"/>
        </w:rPr>
        <w:t>项目支出</w:t>
      </w: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1"/>
          <w:szCs w:val="31"/>
        </w:rPr>
        <w:t>主要</w:t>
      </w:r>
      <w:r>
        <w:rPr>
          <w:rFonts w:ascii="Times New Roman" w:hAnsi="仿宋" w:eastAsia="仿宋"/>
          <w:sz w:val="32"/>
          <w:szCs w:val="32"/>
        </w:rPr>
        <w:t>是部门为完成特定行政工作任务或事业发展目标而发生的支出，包括</w:t>
      </w:r>
      <w:r>
        <w:rPr>
          <w:rFonts w:hint="eastAsia" w:ascii="Times New Roman" w:hAnsi="仿宋" w:eastAsia="仿宋"/>
          <w:sz w:val="32"/>
          <w:szCs w:val="32"/>
        </w:rPr>
        <w:t>《南岳年鉴》、《南岳区志》、《南岳衡山志》及其他志书的组稿、编辑出版、发行等工作，为社会各界提供服务。组织南岳红色文化专题资料征集、调研和撰稿任务。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年项目支出</w:t>
      </w:r>
      <w:r>
        <w:rPr>
          <w:rFonts w:hint="eastAsia" w:eastAsia="仿宋_GB2312"/>
          <w:sz w:val="32"/>
          <w:szCs w:val="32"/>
          <w:lang w:val="en-US" w:eastAsia="zh-CN"/>
        </w:rPr>
        <w:t>33.96</w:t>
      </w:r>
      <w:r>
        <w:rPr>
          <w:rFonts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  <w:lang w:eastAsia="zh-CN"/>
        </w:rPr>
        <w:t>增加</w:t>
      </w:r>
      <w:r>
        <w:rPr>
          <w:rFonts w:hint="eastAsia" w:eastAsia="仿宋_GB2312"/>
          <w:sz w:val="32"/>
          <w:szCs w:val="32"/>
          <w:lang w:val="en-US" w:eastAsia="zh-CN"/>
        </w:rPr>
        <w:t>2.02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  <w:lang w:eastAsia="zh-CN"/>
        </w:rPr>
        <w:t>增加文献资料汇编专项经费。</w:t>
      </w:r>
    </w:p>
    <w:p>
      <w:pPr>
        <w:widowControl/>
        <w:numPr>
          <w:ilvl w:val="0"/>
          <w:numId w:val="0"/>
        </w:numPr>
        <w:spacing w:line="600" w:lineRule="exact"/>
        <w:ind w:leftChars="0"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三、</w:t>
      </w:r>
      <w:r>
        <w:rPr>
          <w:rFonts w:ascii="Times New Roman" w:hAnsi="Times New Roman" w:eastAsia="黑体" w:cs="Times New Roman"/>
          <w:sz w:val="32"/>
          <w:szCs w:val="32"/>
        </w:rPr>
        <w:t>部门整体支出绩效情况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1" w:firstLineChars="100"/>
        <w:textAlignment w:val="auto"/>
        <w:rPr>
          <w:rFonts w:hint="eastAsia" w:ascii="Times New Roman" w:hAnsi="仿宋" w:eastAsia="仿宋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color w:val="auto"/>
          <w:sz w:val="32"/>
          <w:szCs w:val="32"/>
          <w:lang w:val="en-US" w:eastAsia="zh-CN"/>
        </w:rPr>
        <w:t>　</w:t>
      </w:r>
      <w:r>
        <w:rPr>
          <w:rFonts w:hint="eastAsia" w:ascii="Times New Roman" w:hAnsi="仿宋" w:eastAsia="仿宋"/>
          <w:sz w:val="32"/>
          <w:szCs w:val="32"/>
        </w:rPr>
        <w:t>202</w:t>
      </w:r>
      <w:r>
        <w:rPr>
          <w:rFonts w:hint="eastAsia" w:ascii="Times New Roman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仿宋" w:eastAsia="仿宋"/>
          <w:sz w:val="32"/>
          <w:szCs w:val="32"/>
        </w:rPr>
        <w:t xml:space="preserve"> 年，本单位整体绩效目标为 </w:t>
      </w:r>
      <w:r>
        <w:rPr>
          <w:rFonts w:hint="eastAsia" w:ascii="Times New Roman" w:hAnsi="仿宋" w:eastAsia="仿宋"/>
          <w:sz w:val="32"/>
          <w:szCs w:val="32"/>
          <w:lang w:val="en-US" w:eastAsia="zh-CN"/>
        </w:rPr>
        <w:t>83.57</w:t>
      </w:r>
      <w:r>
        <w:rPr>
          <w:rFonts w:hint="eastAsia" w:ascii="Times New Roman" w:hAnsi="仿宋" w:eastAsia="仿宋"/>
          <w:sz w:val="32"/>
          <w:szCs w:val="32"/>
        </w:rPr>
        <w:t>万元，绩效完成为</w:t>
      </w:r>
      <w:r>
        <w:rPr>
          <w:rFonts w:hint="eastAsia" w:ascii="Times New Roman" w:hAnsi="仿宋" w:eastAsia="仿宋"/>
          <w:sz w:val="32"/>
          <w:szCs w:val="32"/>
          <w:lang w:val="en-US" w:eastAsia="zh-CN"/>
        </w:rPr>
        <w:t>106.58</w:t>
      </w:r>
      <w:r>
        <w:rPr>
          <w:rFonts w:hint="eastAsia" w:ascii="Times New Roman" w:hAnsi="仿宋" w:eastAsia="仿宋"/>
          <w:sz w:val="32"/>
          <w:szCs w:val="32"/>
        </w:rPr>
        <w:t>万元。执行过程中严格按照年初预算批复认真组织实施，严格执行财经纪律相关管理规定，做到各项收支安排使用符合事业发展计划和财政政策的要求，确保</w:t>
      </w:r>
      <w:r>
        <w:rPr>
          <w:rFonts w:hint="eastAsia" w:ascii="Times New Roman" w:hAnsi="仿宋" w:eastAsia="仿宋"/>
          <w:sz w:val="32"/>
          <w:szCs w:val="32"/>
          <w:lang w:eastAsia="zh-CN"/>
        </w:rPr>
        <w:t>了</w:t>
      </w:r>
      <w:r>
        <w:rPr>
          <w:rFonts w:hint="eastAsia" w:ascii="Times New Roman" w:hAnsi="仿宋" w:eastAsia="仿宋"/>
          <w:sz w:val="32"/>
          <w:szCs w:val="32"/>
        </w:rPr>
        <w:t>单位正常运行和重大项目的实施，较好地完成了 202</w:t>
      </w:r>
      <w:r>
        <w:rPr>
          <w:rFonts w:hint="eastAsia" w:ascii="Times New Roman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仿宋" w:eastAsia="仿宋"/>
          <w:sz w:val="32"/>
          <w:szCs w:val="32"/>
        </w:rPr>
        <w:t>年部门预 算编制和决算汇总工作，202</w:t>
      </w:r>
      <w:r>
        <w:rPr>
          <w:rFonts w:hint="eastAsia" w:ascii="Times New Roman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仿宋" w:eastAsia="仿宋"/>
          <w:sz w:val="32"/>
          <w:szCs w:val="32"/>
        </w:rPr>
        <w:t xml:space="preserve"> 年目标任务基本完成，预算执行情况较好，但仍存在预算编制不够完善，个别项目为追加预算，预算申报、管理工作有待加强等问题。</w:t>
      </w:r>
    </w:p>
    <w:p>
      <w:pPr>
        <w:widowControl/>
        <w:spacing w:line="600" w:lineRule="exact"/>
        <w:rPr>
          <w:rFonts w:hint="eastAsia" w:ascii="楷体_GB2312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ascii="楷体_GB2312" w:hAnsi="Times New Roman" w:eastAsia="楷体_GB2312" w:cs="Times New Roman"/>
          <w:b/>
          <w:sz w:val="32"/>
          <w:szCs w:val="32"/>
          <w:lang w:val="en-US" w:eastAsia="zh-CN"/>
        </w:rPr>
        <w:t xml:space="preserve">　　（一）业务管理情况 </w:t>
      </w:r>
    </w:p>
    <w:p>
      <w:pPr>
        <w:numPr>
          <w:ilvl w:val="0"/>
          <w:numId w:val="0"/>
        </w:numPr>
        <w:tabs>
          <w:tab w:val="left" w:pos="2296"/>
        </w:tabs>
        <w:spacing w:line="600" w:lineRule="exact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theme="minorBidi"/>
          <w:kern w:val="2"/>
          <w:sz w:val="32"/>
          <w:szCs w:val="32"/>
          <w:lang w:val="en-US" w:eastAsia="zh-CN" w:bidi="ar-SA"/>
        </w:rPr>
        <w:t>　　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本单位制定了一系列完善的内部控制制度，对财务支出、 财务报账、财产物资管理、监督检查等方面的内部控制流程、风险防控、制度等作出明确规定；还针对党务管理、政务管理、业务管理和内务管理制定了一系列相应的制度，管理制度健全。</w:t>
      </w:r>
    </w:p>
    <w:p>
      <w:pPr>
        <w:numPr>
          <w:ilvl w:val="0"/>
          <w:numId w:val="2"/>
        </w:numPr>
        <w:tabs>
          <w:tab w:val="left" w:pos="2296"/>
        </w:tabs>
        <w:spacing w:line="600" w:lineRule="exact"/>
        <w:ind w:left="640" w:leftChars="0" w:firstLine="0" w:firstLineChars="0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Times New Roman"/>
          <w:b/>
          <w:sz w:val="32"/>
          <w:szCs w:val="32"/>
          <w:lang w:val="en-US" w:eastAsia="zh-CN"/>
        </w:rPr>
        <w:t>财务管理情况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numPr>
          <w:ilvl w:val="0"/>
          <w:numId w:val="0"/>
        </w:numPr>
        <w:tabs>
          <w:tab w:val="left" w:pos="2296"/>
        </w:tabs>
        <w:spacing w:line="240" w:lineRule="auto"/>
        <w:ind w:left="0" w:leftChars="0"/>
        <w:jc w:val="left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theme="minorBidi"/>
          <w:kern w:val="2"/>
          <w:sz w:val="32"/>
          <w:szCs w:val="32"/>
          <w:lang w:val="en-US" w:eastAsia="zh-CN" w:bidi="ar-SA"/>
        </w:rPr>
        <w:t>　　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1. 严格</w:t>
      </w:r>
      <w:r>
        <w:rPr>
          <w:rFonts w:hint="eastAsia" w:eastAsia="仿宋_GB2312" w:cstheme="minorBidi"/>
          <w:kern w:val="2"/>
          <w:sz w:val="32"/>
          <w:szCs w:val="32"/>
          <w:lang w:val="en-US" w:eastAsia="zh-CN" w:bidi="ar-SA"/>
        </w:rPr>
        <w:t>按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 xml:space="preserve">照预算会计和财务会计平行记账处理，达到 “双功能”“双基础”“双报告”“双分录”来记录和反映单位经济业务的发生。 </w:t>
      </w:r>
    </w:p>
    <w:p>
      <w:pPr>
        <w:numPr>
          <w:ilvl w:val="0"/>
          <w:numId w:val="0"/>
        </w:numPr>
        <w:tabs>
          <w:tab w:val="left" w:pos="2296"/>
        </w:tabs>
        <w:spacing w:line="240" w:lineRule="auto"/>
        <w:ind w:left="0" w:leftChars="0"/>
        <w:jc w:val="left"/>
        <w:rPr>
          <w:rFonts w:hint="eastAsia" w:ascii="Times New Roman" w:hAnsi="仿宋" w:eastAsia="仿宋"/>
          <w:sz w:val="32"/>
          <w:szCs w:val="32"/>
        </w:rPr>
      </w:pPr>
      <w:r>
        <w:rPr>
          <w:rFonts w:hint="eastAsia" w:eastAsia="仿宋_GB2312" w:cstheme="minorBidi"/>
          <w:kern w:val="2"/>
          <w:sz w:val="32"/>
          <w:szCs w:val="32"/>
          <w:lang w:val="en-US" w:eastAsia="zh-CN" w:bidi="ar-SA"/>
        </w:rPr>
        <w:t>　　2.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 xml:space="preserve"> 制定完善《财务管理办法》，规范资金使用范围和用途，明确各项费用报销内容、范围、程序、标准及审批权限等</w:t>
      </w:r>
      <w:r>
        <w:rPr>
          <w:rFonts w:hint="eastAsia" w:eastAsia="仿宋_GB2312" w:cstheme="minorBidi"/>
          <w:kern w:val="2"/>
          <w:sz w:val="32"/>
          <w:szCs w:val="32"/>
          <w:lang w:val="en-US" w:eastAsia="zh-CN" w:bidi="ar-SA"/>
        </w:rPr>
        <w:t>。</w:t>
      </w:r>
    </w:p>
    <w:p>
      <w:pPr>
        <w:widowControl/>
        <w:numPr>
          <w:ilvl w:val="0"/>
          <w:numId w:val="3"/>
        </w:numPr>
        <w:spacing w:line="600" w:lineRule="exact"/>
        <w:ind w:firstLine="643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楷体_GB2312" w:hAnsi="Times New Roman" w:eastAsia="楷体_GB2312" w:cs="Times New Roman"/>
          <w:b/>
          <w:sz w:val="32"/>
          <w:szCs w:val="32"/>
        </w:rPr>
        <w:t xml:space="preserve">绩效评价总结 </w:t>
      </w:r>
    </w:p>
    <w:p>
      <w:pPr>
        <w:numPr>
          <w:ilvl w:val="0"/>
          <w:numId w:val="0"/>
        </w:numPr>
        <w:tabs>
          <w:tab w:val="left" w:pos="2296"/>
        </w:tabs>
        <w:spacing w:line="240" w:lineRule="auto"/>
        <w:ind w:left="0" w:leftChars="0"/>
        <w:jc w:val="left"/>
        <w:rPr>
          <w:rFonts w:hint="default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theme="minorBidi"/>
          <w:kern w:val="2"/>
          <w:sz w:val="32"/>
          <w:szCs w:val="32"/>
          <w:lang w:val="en-US" w:eastAsia="zh-CN" w:bidi="ar-SA"/>
        </w:rPr>
        <w:t>　　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抓好史志资料信息化工作，凸显“党史+”效应，将党史教育基地等连点成线纳入旅游线路，丰富文旅供给产品。</w:t>
      </w:r>
    </w:p>
    <w:p>
      <w:pPr>
        <w:numPr>
          <w:ilvl w:val="0"/>
          <w:numId w:val="0"/>
        </w:numPr>
        <w:tabs>
          <w:tab w:val="left" w:pos="2296"/>
        </w:tabs>
        <w:spacing w:line="240" w:lineRule="auto"/>
        <w:ind w:left="0" w:leftChars="0"/>
        <w:jc w:val="left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一是创新史志成果。按时保质完成《南岳年鉴2023》编纂工作、执政纪事和《湖南年鉴》《衡阳年鉴》征编任务、《衡阳年鉴（2023）》等评审工作，参与《南岳的国共合作抗日与红色文化展览大纲》设计评审和《南岳慈善志》编纂，完成《南岳衡山志》初稿和编撰体例确认，推动出版《</w:t>
      </w:r>
      <w:bookmarkStart w:id="0" w:name="_GoBack"/>
      <w:bookmarkEnd w:id="0"/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走进南岳》。积极参与党史研究学术交流。持续抓好史志资料信息化工作。继续与清华同方CNKI数字图书馆全文数据库合作，《南岳年鉴（2023）》信息数据化。二是凸显“党史+”效应。申报与巩固发展党史教育基地。2023年，南岳游击干部训练班陈列室获评“首批衡阳市党史教育基地”“衡阳市第二批廉洁文化示范基地”。南岳衡山、佛道救难协会、游干班陈列室获评首批“湖南统一战线教育基地”。将党史教育基地、红色文化场馆连点成线纳入南岳红廉文化培训之旅线路，丰富旅游供给产品。</w:t>
      </w:r>
    </w:p>
    <w:p>
      <w:pPr>
        <w:widowControl/>
        <w:spacing w:line="240" w:lineRule="auto"/>
        <w:ind w:firstLine="0" w:firstLineChars="0"/>
        <w:jc w:val="left"/>
        <w:rPr>
          <w:rFonts w:hint="default" w:ascii="Calibri" w:hAnsi="Calibri" w:cs="Calibri"/>
          <w:i w:val="0"/>
          <w:iCs w:val="0"/>
          <w:caps w:val="0"/>
          <w:color w:val="535353"/>
          <w:spacing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　　四</w:t>
      </w:r>
      <w:r>
        <w:rPr>
          <w:rFonts w:hint="eastAsia" w:ascii="Times New Roman" w:hAnsi="Times New Roman" w:eastAsia="黑体" w:cs="Times New Roman"/>
          <w:sz w:val="32"/>
          <w:szCs w:val="32"/>
        </w:rPr>
        <w:t>、</w:t>
      </w:r>
      <w:r>
        <w:rPr>
          <w:rFonts w:ascii="Times New Roman" w:hAnsi="Times New Roman" w:eastAsia="黑体" w:cs="Times New Roman"/>
          <w:sz w:val="32"/>
          <w:szCs w:val="32"/>
        </w:rPr>
        <w:t>存在的问题及原因分析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left"/>
        <w:textAlignment w:val="auto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预算编制不够准确，存在决算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支出大于预算总额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/>
        <w:numPr>
          <w:ilvl w:val="0"/>
          <w:numId w:val="4"/>
        </w:numPr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下一步改进措施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（一）推进项目管理，提高资金执行率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加强项目管理，按程序加快推进已安排项目的执行，定期开展预算绩效监控，促使资金发挥应有的作用。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努力提高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  <w:t>党史利用程度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  <w:t>利用党史研究成果，充分发挥党史存史、资政育人的作用。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（三）加强财务管理，规范会计核算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加强对费用票据的审核，拒绝欠规范、不合理票据，对支付的相关补助费用严格按标准支出，做到合法、合规、合理、透明，对于支付依据不充分的费用不予支付，规范会计核算，确保专项资金专账核算，专款专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5"/>
        <w:jc w:val="left"/>
        <w:textAlignment w:val="auto"/>
        <w:rPr>
          <w:rFonts w:ascii="Times New Roman" w:hAnsi="Times New Roman" w:eastAsia="Times New Roman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提高会计人员素质，按照岗位要求培养，熟悉制度。以确保机关财务单位会计报表准确反映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  <w:t>档案馆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工作内容和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  <w:t>支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出真实。</w:t>
      </w:r>
    </w:p>
    <w:p>
      <w:pPr>
        <w:widowControl/>
        <w:numPr>
          <w:ilvl w:val="0"/>
          <w:numId w:val="0"/>
        </w:numPr>
        <w:spacing w:line="600" w:lineRule="exact"/>
        <w:ind w:firstLine="420" w:firstLineChars="200"/>
        <w:jc w:val="left"/>
      </w:pPr>
    </w:p>
    <w:p>
      <w:pPr>
        <w:widowControl/>
        <w:numPr>
          <w:ilvl w:val="0"/>
          <w:numId w:val="0"/>
        </w:numPr>
        <w:spacing w:line="600" w:lineRule="exact"/>
        <w:ind w:firstLine="420" w:firstLineChars="200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33BB9A"/>
    <w:multiLevelType w:val="singleLevel"/>
    <w:tmpl w:val="C033BB9A"/>
    <w:lvl w:ilvl="0" w:tentative="0">
      <w:start w:val="2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abstractNum w:abstractNumId="1">
    <w:nsid w:val="CF402351"/>
    <w:multiLevelType w:val="singleLevel"/>
    <w:tmpl w:val="CF402351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F639CCF1"/>
    <w:multiLevelType w:val="singleLevel"/>
    <w:tmpl w:val="F639CCF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52A44AD"/>
    <w:multiLevelType w:val="singleLevel"/>
    <w:tmpl w:val="652A44A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692A871F"/>
    <w:multiLevelType w:val="singleLevel"/>
    <w:tmpl w:val="692A871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ODA3MmNmMGZmM2E4YmFjMjIxNjNmMTAwYjMxMGMifQ=="/>
  </w:docVars>
  <w:rsids>
    <w:rsidRoot w:val="19FA594B"/>
    <w:rsid w:val="00717122"/>
    <w:rsid w:val="020537C5"/>
    <w:rsid w:val="10BB66FA"/>
    <w:rsid w:val="19FA594B"/>
    <w:rsid w:val="1D283B39"/>
    <w:rsid w:val="30DE023D"/>
    <w:rsid w:val="37836AA7"/>
    <w:rsid w:val="49F874A7"/>
    <w:rsid w:val="4CD11285"/>
    <w:rsid w:val="5C07012F"/>
    <w:rsid w:val="5E8F1200"/>
    <w:rsid w:val="73AC6C4D"/>
    <w:rsid w:val="7E0F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宋体"/>
      <w:kern w:val="0"/>
      <w:sz w:val="20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eastAsia="宋体"/>
      <w:kern w:val="2"/>
      <w:sz w:val="21"/>
      <w:lang w:bidi="ar-SA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2428</Words>
  <Characters>2530</Characters>
  <Lines>0</Lines>
  <Paragraphs>0</Paragraphs>
  <TotalTime>6</TotalTime>
  <ScaleCrop>false</ScaleCrop>
  <LinksUpToDate>false</LinksUpToDate>
  <CharactersWithSpaces>2542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2023-02-03T02:21:00Z</dcterms:created>
  <dc:creator>三千金</dc:creator>
  <cp:lastModifiedBy>三千金</cp:lastModifiedBy>
  <dcterms:modified xsi:type="dcterms:W3CDTF">2024-04-17T08:17:43Z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4A5A1EB6B9E848D783975C70E50008FC_13</vt:lpwstr>
  </property>
</Properties>
</file>