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bookmarkStart w:id="0" w:name="_GoBack"/>
      <w:bookmarkEnd w:id="0"/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南岳国有林场2023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</w:p>
    <w:p>
      <w:pPr>
        <w:widowControl/>
        <w:jc w:val="center"/>
        <w:rPr>
          <w:rFonts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部门整体支出绩效评价报告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黑体" w:hAnsi="Times New Roman" w:eastAsia="黑体" w:cs="Times New Roman"/>
          <w:sz w:val="32"/>
          <w:szCs w:val="32"/>
        </w:rPr>
        <w:t>部门基本情况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napToGrid w:val="0"/>
          <w:kern w:val="0"/>
          <w:sz w:val="32"/>
          <w:szCs w:val="32"/>
        </w:rPr>
      </w:pPr>
      <w:r>
        <w:rPr>
          <w:rFonts w:eastAsia="楷体_GB2312"/>
          <w:b/>
          <w:snapToGrid w:val="0"/>
          <w:kern w:val="0"/>
          <w:sz w:val="32"/>
          <w:szCs w:val="32"/>
        </w:rPr>
        <w:t>（一）部门职能职责</w:t>
      </w:r>
    </w:p>
    <w:p>
      <w:pPr>
        <w:shd w:val="clear" w:color="auto" w:fill="FFFFFF"/>
        <w:spacing w:beforeLines="0" w:afterLines="0" w:line="640" w:lineRule="exact"/>
        <w:ind w:firstLine="54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Calibri" w:hAnsi="Calibri" w:eastAsia="仿宋" w:cs="Calibri"/>
          <w:sz w:val="32"/>
          <w:lang w:val="en-US" w:eastAsia="zh-CN"/>
        </w:rPr>
        <w:t>1</w:t>
      </w:r>
      <w:r>
        <w:rPr>
          <w:rFonts w:hint="eastAsia" w:ascii="仿宋" w:hAnsi="仿宋" w:eastAsia="仿宋"/>
          <w:sz w:val="32"/>
        </w:rPr>
        <w:t>.负责贯彻执行国家有关林业、自然保护区、风景名胜区的法律、法规，执行上级党委、政府的政策、决议和规定，搞好相关法律、法规的宣传和教育。</w:t>
      </w:r>
    </w:p>
    <w:p>
      <w:pPr>
        <w:shd w:val="clear" w:color="auto" w:fill="FFFFFF"/>
        <w:spacing w:beforeLines="0" w:afterLines="0" w:line="640" w:lineRule="exact"/>
        <w:ind w:firstLine="54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Calibri" w:hAnsi="Calibri" w:eastAsia="仿宋" w:cs="Calibri"/>
          <w:sz w:val="32"/>
          <w:lang w:val="en-US" w:eastAsia="zh-CN"/>
        </w:rPr>
        <w:t>2</w:t>
      </w:r>
      <w:r>
        <w:rPr>
          <w:rFonts w:hint="eastAsia" w:ascii="仿宋" w:hAnsi="仿宋" w:eastAsia="仿宋"/>
          <w:sz w:val="32"/>
        </w:rPr>
        <w:t>.负责制定林场的各项规章制度和管理措施，并负责监督落实；负责建立健全所辖林区的护林网络，负责林业护林队伍管理。</w:t>
      </w:r>
    </w:p>
    <w:p>
      <w:pPr>
        <w:shd w:val="clear" w:color="auto" w:fill="FFFFFF"/>
        <w:spacing w:beforeLines="0" w:afterLines="0" w:line="640" w:lineRule="exact"/>
        <w:ind w:firstLine="480" w:firstLineChars="15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Calibri" w:hAnsi="Calibri" w:eastAsia="仿宋" w:cs="Calibri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.负责林场所辖林地、林木、古树名木、原始次生林、公益林、野生动植物的管理和保护；负责辖区内的森林防火、营林生产、森林病虫害防治、林区内枯死树木的清理工作。</w:t>
      </w:r>
    </w:p>
    <w:p>
      <w:pPr>
        <w:shd w:val="clear" w:color="auto" w:fill="FFFFFF"/>
        <w:spacing w:beforeLines="0" w:afterLines="0" w:line="640" w:lineRule="exact"/>
        <w:ind w:firstLine="54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.负责编制林场发展规划、年度工作计划并组织实施，指导各营林工区开展林业生产活动；根据国家有关规定代收和协助管理各项林业行政事业收费。</w:t>
      </w:r>
    </w:p>
    <w:p>
      <w:pPr>
        <w:shd w:val="clear" w:color="auto" w:fill="FFFFFF"/>
        <w:spacing w:beforeLines="0" w:afterLines="0" w:line="640" w:lineRule="exact"/>
        <w:ind w:firstLine="64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.配合林业行政主管部门开展资源调查、造林检查验收、林业统计和森林资源档案管理工作，掌握辖区内森林资源消长和野生动植物物种变化情况；配合森林公安、林政等有关部门处理森林、林木和林地所有权或使用权争议，协助查处破坏森林和野生动植物资源案件。</w:t>
      </w:r>
    </w:p>
    <w:p>
      <w:pPr>
        <w:spacing w:beforeLines="0" w:afterLines="0" w:line="520" w:lineRule="exact"/>
        <w:ind w:firstLine="640" w:firstLineChars="200"/>
        <w:rPr>
          <w:rFonts w:hint="eastAsia" w:ascii="仿宋" w:hAnsi="仿宋" w:eastAsia="仿宋"/>
          <w:sz w:val="32"/>
          <w:lang w:val="en-US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/>
          <w:sz w:val="32"/>
        </w:rPr>
        <w:t>.负责所辖南岳茶场开展茶叶生产经营活动；负责组织开展辖区内的林下特色种植养殖工作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（二）机构设置情况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南岳区南岳国有林场</w:t>
      </w:r>
      <w:r>
        <w:rPr>
          <w:rFonts w:hint="eastAsia" w:ascii="仿宋_GB2312" w:eastAsia="仿宋_GB2312"/>
          <w:sz w:val="30"/>
          <w:szCs w:val="30"/>
        </w:rPr>
        <w:t>是全额拨款的事业单位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根据编办核定，我</w:t>
      </w:r>
      <w:r>
        <w:rPr>
          <w:rFonts w:hint="eastAsia" w:ascii="仿宋_GB2312" w:eastAsia="仿宋_GB2312"/>
          <w:sz w:val="30"/>
          <w:szCs w:val="30"/>
          <w:lang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内设股室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个，分别是</w:t>
      </w:r>
      <w:r>
        <w:rPr>
          <w:rFonts w:hint="eastAsia" w:ascii="仿宋_GB2312" w:eastAsia="仿宋_GB2312"/>
          <w:sz w:val="30"/>
          <w:szCs w:val="30"/>
          <w:lang w:eastAsia="zh-CN"/>
        </w:rPr>
        <w:t>办公室、计财股、森保股、营林股、多种经营股。</w:t>
      </w:r>
      <w:r>
        <w:rPr>
          <w:rFonts w:hint="eastAsia" w:ascii="仿宋_GB2312" w:eastAsia="仿宋_GB2312"/>
          <w:sz w:val="30"/>
          <w:szCs w:val="30"/>
        </w:rPr>
        <w:t>现有公务用车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台，其中定向保障车辆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台，执法执勤用车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台。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（三）人员编制情况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年末，我单位共有</w:t>
      </w:r>
      <w:r>
        <w:rPr>
          <w:rFonts w:hint="eastAsia" w:eastAsia="仿宋_GB2312"/>
          <w:sz w:val="32"/>
          <w:szCs w:val="32"/>
          <w:lang w:eastAsia="zh-CN"/>
        </w:rPr>
        <w:t>全额事业</w:t>
      </w:r>
      <w:r>
        <w:rPr>
          <w:rFonts w:eastAsia="仿宋_GB2312"/>
          <w:sz w:val="32"/>
          <w:szCs w:val="32"/>
        </w:rPr>
        <w:t>编制</w:t>
      </w:r>
      <w:r>
        <w:rPr>
          <w:rFonts w:hint="eastAsia" w:eastAsia="仿宋_GB2312"/>
          <w:sz w:val="32"/>
          <w:szCs w:val="32"/>
          <w:lang w:val="en-US" w:eastAsia="zh-CN"/>
        </w:rPr>
        <w:t>115人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eastAsia="仿宋_GB2312"/>
          <w:sz w:val="32"/>
          <w:szCs w:val="32"/>
        </w:rPr>
        <w:t>年末实有在职人员</w:t>
      </w:r>
      <w:r>
        <w:rPr>
          <w:rFonts w:hint="eastAsia" w:eastAsia="仿宋_GB2312"/>
          <w:sz w:val="32"/>
          <w:szCs w:val="32"/>
          <w:lang w:val="en-US" w:eastAsia="zh-CN"/>
        </w:rPr>
        <w:t>99</w:t>
      </w:r>
      <w:r>
        <w:rPr>
          <w:rFonts w:eastAsia="仿宋_GB2312"/>
          <w:sz w:val="32"/>
          <w:szCs w:val="32"/>
        </w:rPr>
        <w:t>人，离休人员</w:t>
      </w:r>
      <w:r>
        <w:rPr>
          <w:rFonts w:hint="eastAsia" w:eastAsia="仿宋_GB2312"/>
          <w:sz w:val="32"/>
          <w:szCs w:val="32"/>
          <w:lang w:val="en-US" w:eastAsia="zh-CN"/>
        </w:rPr>
        <w:t>143</w:t>
      </w:r>
      <w:r>
        <w:rPr>
          <w:rFonts w:eastAsia="仿宋_GB2312"/>
          <w:sz w:val="32"/>
          <w:szCs w:val="32"/>
        </w:rPr>
        <w:t>人。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一般公共预算支出情况</w:t>
      </w:r>
    </w:p>
    <w:p>
      <w:pPr>
        <w:widowControl/>
        <w:numPr>
          <w:ilvl w:val="0"/>
          <w:numId w:val="0"/>
        </w:numPr>
        <w:spacing w:line="60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（一）基本支出情况</w:t>
      </w:r>
    </w:p>
    <w:p>
      <w:pPr>
        <w:tabs>
          <w:tab w:val="left" w:pos="2296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基本支出系保障我厅机构正常运转、完成日常工作任务而发生的各项支出，包括用于在职和离退休人员基本工资、津贴补贴等人员经费以及办公费、印刷费、水电费、办公设备购置等日常公用经费。20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年基本支出</w:t>
      </w:r>
      <w:r>
        <w:rPr>
          <w:rFonts w:hint="eastAsia" w:eastAsia="仿宋_GB2312"/>
          <w:sz w:val="32"/>
          <w:szCs w:val="32"/>
          <w:lang w:val="en-US" w:eastAsia="zh-CN"/>
        </w:rPr>
        <w:t>1955.46</w:t>
      </w:r>
      <w:r>
        <w:rPr>
          <w:rFonts w:eastAsia="仿宋_GB2312"/>
          <w:sz w:val="32"/>
          <w:szCs w:val="32"/>
        </w:rPr>
        <w:t>万元，较上年</w:t>
      </w:r>
      <w:r>
        <w:rPr>
          <w:rFonts w:hint="eastAsia" w:eastAsia="仿宋_GB2312"/>
          <w:sz w:val="32"/>
          <w:szCs w:val="32"/>
          <w:lang w:eastAsia="zh-CN"/>
        </w:rPr>
        <w:t>减少了</w:t>
      </w:r>
      <w:r>
        <w:rPr>
          <w:rFonts w:hint="eastAsia" w:eastAsia="仿宋_GB2312"/>
          <w:sz w:val="32"/>
          <w:szCs w:val="32"/>
          <w:lang w:val="en-US" w:eastAsia="zh-CN"/>
        </w:rPr>
        <w:t>9.27万元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基本支出中人员经费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1450.7</w:t>
      </w:r>
      <w:r>
        <w:rPr>
          <w:rFonts w:eastAsia="仿宋_GB2312"/>
          <w:color w:val="000000"/>
          <w:sz w:val="32"/>
          <w:szCs w:val="32"/>
        </w:rPr>
        <w:t>万元，占基本支出的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74.18</w:t>
      </w:r>
      <w:r>
        <w:rPr>
          <w:rFonts w:eastAsia="仿宋_GB2312"/>
          <w:color w:val="000000"/>
          <w:sz w:val="32"/>
          <w:szCs w:val="32"/>
        </w:rPr>
        <w:t>%，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</w:t>
      </w:r>
      <w:r>
        <w:rPr>
          <w:rFonts w:eastAsia="仿宋_GB2312"/>
          <w:color w:val="000000"/>
          <w:sz w:val="32"/>
          <w:szCs w:val="32"/>
        </w:rPr>
        <w:t>日常公用经费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190.43</w:t>
      </w:r>
      <w:r>
        <w:rPr>
          <w:rFonts w:eastAsia="仿宋_GB2312"/>
          <w:color w:val="000000"/>
          <w:sz w:val="32"/>
          <w:szCs w:val="32"/>
        </w:rPr>
        <w:t>万元，占基本支出的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9.74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2"/>
        </w:numPr>
        <w:spacing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项目支出情况</w:t>
      </w:r>
    </w:p>
    <w:p>
      <w:pPr>
        <w:widowControl/>
        <w:numPr>
          <w:ilvl w:val="0"/>
          <w:numId w:val="0"/>
        </w:numPr>
        <w:spacing w:line="600" w:lineRule="exact"/>
        <w:ind w:leftChars="0" w:firstLine="640" w:firstLineChars="2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年度开展了防火线及林道维修33.87万元，松线病虫枯死松木防治64.6万元，智能语音监控维保16.98万元，陈家岭护林点环境整治34.2万元，陈家岭护林点应急通道路面硬化工程46.25万元，护坡建设14.85万元，农场税费改革32.38万元，红楼消防水池建设31.72万元等项目。</w:t>
      </w:r>
    </w:p>
    <w:p>
      <w:pPr>
        <w:widowControl/>
        <w:numPr>
          <w:ilvl w:val="0"/>
          <w:numId w:val="0"/>
        </w:numPr>
        <w:spacing w:line="600" w:lineRule="exact"/>
        <w:ind w:leftChars="0"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部门整体支出绩效情况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本部门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年初预算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1530.14万元，实际执行投入3298.81万元，因年初项目预算只有23.72万，而本年度实施了防火线及林道维修33.87万元，松线病虫枯死松木防治64.6万元，智能语音监控维保16.98万元，陈家岭护林点环境整治34.2万元，陈家岭护林点应急通道路面硬化工程46.25万元，护坡建设14.85万元，农场税费改革32.38万元，红楼消防水池建设31.72万元等项目，都未纳入年初预算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ascii="Times New Roman" w:hAnsi="Times New Roman" w:eastAsia="黑体" w:cs="Times New Roman"/>
          <w:sz w:val="32"/>
          <w:szCs w:val="32"/>
        </w:rPr>
        <w:t>存在的问题及原因分析</w:t>
      </w:r>
    </w:p>
    <w:p>
      <w:pPr>
        <w:widowControl/>
        <w:spacing w:line="600" w:lineRule="exact"/>
        <w:jc w:val="left"/>
        <w:rPr>
          <w:rFonts w:hint="default" w:ascii="Calibri" w:hAnsi="Calibri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Calibri" w:hAnsi="Calibri" w:eastAsia="楷体_GB2312" w:cs="Times New Roman"/>
          <w:b w:val="0"/>
          <w:bCs/>
          <w:sz w:val="32"/>
          <w:szCs w:val="32"/>
          <w:lang w:val="en-US" w:eastAsia="zh-CN"/>
        </w:rPr>
        <w:t xml:space="preserve">    暂无</w:t>
      </w:r>
    </w:p>
    <w:p>
      <w:pPr>
        <w:spacing w:line="600" w:lineRule="exact"/>
        <w:ind w:firstLine="640" w:firstLineChars="200"/>
        <w:rPr>
          <w:rFonts w:hint="eastAsia" w:ascii="Calibri" w:hAnsi="Calibri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eastAsia" w:ascii="Calibri" w:hAnsi="Calibri" w:eastAsia="楷体_GB2312" w:cs="Times New Roman"/>
          <w:b/>
          <w:sz w:val="32"/>
          <w:szCs w:val="32"/>
          <w:lang w:eastAsia="zh-CN"/>
        </w:rPr>
        <w:t>、部分项目实施与预算执行存在脱节。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项目资金均按合同支付进度执行。由于财政资金紧张，存在支付进度不及时的情况。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六、</w:t>
      </w:r>
      <w:r>
        <w:rPr>
          <w:rFonts w:ascii="Times New Roman" w:hAnsi="Times New Roman" w:eastAsia="黑体" w:cs="Times New Roman"/>
          <w:sz w:val="32"/>
          <w:szCs w:val="32"/>
        </w:rPr>
        <w:t>下一步改进措施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针对上述存在的问题，拟采取以下改进措施：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强化预算管理，定期开展预算执行分析。</w:t>
      </w:r>
      <w:r>
        <w:rPr>
          <w:rFonts w:hint="eastAsia" w:eastAsia="仿宋_GB2312"/>
          <w:sz w:val="32"/>
          <w:szCs w:val="32"/>
          <w:lang w:val="en-US" w:eastAsia="zh-CN"/>
        </w:rPr>
        <w:t>通过定期对项目实施和预算执行情况进行梳理，及时掌握项目进度，督促项目实施单位早启动、早实施、早验收，对符合条件的项目按照项目进度支付相关款项，将预算资金管理贯穿于项目实施全过程中。对未启动项目及时分析原因，根据资金使用情况调整下年预算安排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39CCF1"/>
    <w:multiLevelType w:val="singleLevel"/>
    <w:tmpl w:val="F639CC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1018B9"/>
    <w:multiLevelType w:val="singleLevel"/>
    <w:tmpl w:val="6D1018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MGNjMTc3NzI3ZWFkNjc1MWE1ZmVlZWMzZjZlZmIifQ=="/>
  </w:docVars>
  <w:rsids>
    <w:rsidRoot w:val="58E06247"/>
    <w:rsid w:val="00881676"/>
    <w:rsid w:val="03E26782"/>
    <w:rsid w:val="103C1D0B"/>
    <w:rsid w:val="149B2A0B"/>
    <w:rsid w:val="1A461955"/>
    <w:rsid w:val="1D965DBC"/>
    <w:rsid w:val="20E67351"/>
    <w:rsid w:val="25C26158"/>
    <w:rsid w:val="2672741C"/>
    <w:rsid w:val="28606852"/>
    <w:rsid w:val="29121970"/>
    <w:rsid w:val="29EF7861"/>
    <w:rsid w:val="2ADA6473"/>
    <w:rsid w:val="30BE2A8F"/>
    <w:rsid w:val="429F3322"/>
    <w:rsid w:val="43102595"/>
    <w:rsid w:val="452536E1"/>
    <w:rsid w:val="4A1504A0"/>
    <w:rsid w:val="52C14B04"/>
    <w:rsid w:val="55A02E49"/>
    <w:rsid w:val="570A7C73"/>
    <w:rsid w:val="58E06247"/>
    <w:rsid w:val="5DA220D3"/>
    <w:rsid w:val="64A2122F"/>
    <w:rsid w:val="6713109A"/>
    <w:rsid w:val="67B42849"/>
    <w:rsid w:val="71BD756A"/>
    <w:rsid w:val="751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3"/>
    <w:basedOn w:val="1"/>
    <w:qFormat/>
    <w:uiPriority w:val="0"/>
    <w:rPr>
      <w:rFonts w:ascii="Times New Roman" w:hAnsi="Times New Roman" w:eastAsia="仿宋_GB2312" w:cs="Times New Roman"/>
      <w:spacing w:val="113"/>
      <w:sz w:val="32"/>
    </w:rPr>
  </w:style>
  <w:style w:type="paragraph" w:customStyle="1" w:styleId="8">
    <w:name w:val="样式4"/>
    <w:basedOn w:val="1"/>
    <w:qFormat/>
    <w:uiPriority w:val="0"/>
    <w:rPr>
      <w:rFonts w:ascii="Times New Roman" w:hAnsi="Times New Roman" w:eastAsia="仿宋_GB2312" w:cs="Times New Roman"/>
      <w:snapToGrid w:val="0"/>
      <w:spacing w:val="79"/>
      <w:sz w:val="32"/>
    </w:rPr>
  </w:style>
  <w:style w:type="paragraph" w:customStyle="1" w:styleId="9">
    <w:name w:val="样式6"/>
    <w:basedOn w:val="1"/>
    <w:qFormat/>
    <w:uiPriority w:val="0"/>
    <w:rPr>
      <w:rFonts w:ascii="Times New Roman" w:hAnsi="Times New Roman" w:eastAsia="仿宋_GB2312" w:cs="Times New Roman"/>
      <w:spacing w:val="57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1368</Words>
  <Characters>1475</Characters>
  <Lines>0</Lines>
  <Paragraphs>0</Paragraphs>
  <TotalTime>7</TotalTime>
  <ScaleCrop>false</ScaleCrop>
  <LinksUpToDate>false</LinksUpToDate>
  <CharactersWithSpaces>1479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2020-10-27T13:06:00Z</dcterms:created>
  <dc:creator>Administrator</dc:creator>
  <cp:lastModifiedBy>Administrator</cp:lastModifiedBy>
  <cp:lastPrinted>2023-02-16T09:22:00Z</cp:lastPrinted>
  <dcterms:modified xsi:type="dcterms:W3CDTF">2024-09-23T04:31:37Z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6C5B1A39B8DF41D685D9B211971D55A8_13</vt:lpwstr>
  </property>
</Properties>
</file>