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70" w:rsidRDefault="00CA424B">
      <w:pPr>
        <w:widowControl/>
        <w:jc w:val="center"/>
        <w:rPr>
          <w:rFonts w:eastAsia="方正小标宋_GBK"/>
          <w:sz w:val="36"/>
          <w:szCs w:val="36"/>
        </w:rPr>
      </w:pPr>
      <w:bookmarkStart w:id="0" w:name="_GoBack"/>
      <w:bookmarkEnd w:id="0"/>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南岳区自然资源局</w:t>
      </w:r>
      <w:r>
        <w:rPr>
          <w:rFonts w:ascii="方正小标宋简体" w:eastAsia="方正小标宋简体" w:hAnsi="方正小标宋简体" w:cs="方正小标宋简体" w:hint="eastAsia"/>
          <w:sz w:val="36"/>
          <w:szCs w:val="36"/>
        </w:rPr>
        <w:t>20</w:t>
      </w:r>
      <w:r>
        <w:rPr>
          <w:rFonts w:ascii="方正小标宋简体" w:eastAsia="方正小标宋简体" w:hAnsi="方正小标宋简体" w:cs="方正小标宋简体" w:hint="eastAsia"/>
          <w:sz w:val="36"/>
          <w:szCs w:val="36"/>
        </w:rPr>
        <w:t>23</w:t>
      </w:r>
      <w:r>
        <w:rPr>
          <w:rFonts w:ascii="方正小标宋简体" w:eastAsia="方正小标宋简体" w:hAnsi="方正小标宋简体" w:cs="方正小标宋简体" w:hint="eastAsia"/>
          <w:sz w:val="36"/>
          <w:szCs w:val="36"/>
        </w:rPr>
        <w:t>年度部门整体支出绩效评价报告</w:t>
      </w:r>
    </w:p>
    <w:p w:rsidR="00D37D70" w:rsidRDefault="00CA424B">
      <w:pPr>
        <w:spacing w:line="600" w:lineRule="exact"/>
        <w:ind w:firstLine="645"/>
        <w:rPr>
          <w:rFonts w:eastAsia="仿宋_GB2312"/>
          <w:sz w:val="32"/>
          <w:szCs w:val="32"/>
        </w:rPr>
      </w:pPr>
      <w:r>
        <w:rPr>
          <w:rFonts w:eastAsia="仿宋_GB2312"/>
          <w:sz w:val="32"/>
          <w:szCs w:val="32"/>
        </w:rPr>
        <w:t>根据《中共中央</w:t>
      </w:r>
      <w:r>
        <w:rPr>
          <w:rFonts w:eastAsia="仿宋_GB2312"/>
          <w:sz w:val="32"/>
          <w:szCs w:val="32"/>
        </w:rPr>
        <w:t xml:space="preserve"> </w:t>
      </w:r>
      <w:r>
        <w:rPr>
          <w:rFonts w:eastAsia="仿宋_GB2312"/>
          <w:sz w:val="32"/>
          <w:szCs w:val="32"/>
        </w:rPr>
        <w:t>国务院关于全面实施预算绩效管理的意见》的文件精神，我厅对部门整体支出进行了绩效评价，现报告如下：</w:t>
      </w:r>
    </w:p>
    <w:p w:rsidR="00D37D70" w:rsidRDefault="00CA424B">
      <w:pPr>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一、</w:t>
      </w:r>
      <w:r>
        <w:rPr>
          <w:rFonts w:ascii="黑体" w:eastAsia="黑体" w:hAnsi="Times New Roman" w:cs="Times New Roman" w:hint="eastAsia"/>
          <w:sz w:val="32"/>
          <w:szCs w:val="32"/>
        </w:rPr>
        <w:t>部门（单位）基本情况</w:t>
      </w:r>
    </w:p>
    <w:p w:rsidR="00D37D70" w:rsidRDefault="00CA424B">
      <w:pPr>
        <w:spacing w:line="560" w:lineRule="exact"/>
        <w:ind w:firstLineChars="200" w:firstLine="643"/>
        <w:rPr>
          <w:rFonts w:eastAsia="楷体_GB2312"/>
          <w:b/>
          <w:snapToGrid w:val="0"/>
          <w:kern w:val="0"/>
          <w:sz w:val="32"/>
          <w:szCs w:val="32"/>
        </w:rPr>
      </w:pPr>
      <w:r>
        <w:rPr>
          <w:rFonts w:eastAsia="楷体_GB2312"/>
          <w:b/>
          <w:snapToGrid w:val="0"/>
          <w:kern w:val="0"/>
          <w:sz w:val="32"/>
          <w:szCs w:val="32"/>
        </w:rPr>
        <w:t>（一）部门职能职责</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）依法履行全民所有土地、矿产、森林、草原、湿地、水等自然资源资产所有者职责和国土空间用途管制、城乡规划管理职责。宣传、</w:t>
      </w:r>
      <w:r>
        <w:rPr>
          <w:rFonts w:ascii="仿宋" w:eastAsia="仿宋" w:hAnsi="仿宋" w:cs="仿宋" w:hint="eastAsia"/>
          <w:bCs/>
          <w:sz w:val="32"/>
          <w:szCs w:val="32"/>
        </w:rPr>
        <w:t>贯彻、执行自然资源和国土空间规划（土地利用总体规划、城乡规划、主体功能区规划等）及测绘等法律法规，制定相关政策并监督检查执行情况。</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负责自然资源调查监测评价。执行国家自然资源调查监测评价指标体系和统计标准，按照统一规范的自然资源调查监测评价制度制定实施方案。组织实施全区自然资源基础调查、专项调查和动态监测。负责全区自然资源调查监测评价成果的监督管理和信息发布。</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）负责自然资源统一确权登记工作。执行各类自然资源和不动产统一确权登记、权籍调查、不动产测绘、争议调处、成果应用的制度、标准、规范。建立健全</w:t>
      </w:r>
      <w:r>
        <w:rPr>
          <w:rFonts w:ascii="仿宋" w:eastAsia="仿宋" w:hAnsi="仿宋" w:cs="仿宋" w:hint="eastAsia"/>
          <w:bCs/>
          <w:sz w:val="32"/>
          <w:szCs w:val="32"/>
        </w:rPr>
        <w:t>全区自然资源和不动产登记信息管理基础平台。负责自然资源和不动产</w:t>
      </w:r>
      <w:r>
        <w:rPr>
          <w:rFonts w:ascii="仿宋" w:eastAsia="仿宋" w:hAnsi="仿宋" w:cs="仿宋" w:hint="eastAsia"/>
          <w:bCs/>
          <w:sz w:val="32"/>
          <w:szCs w:val="32"/>
        </w:rPr>
        <w:lastRenderedPageBreak/>
        <w:t>登记资料收集、整理、共享、汇交管理等工作。</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4</w:t>
      </w:r>
      <w:r>
        <w:rPr>
          <w:rFonts w:ascii="仿宋" w:eastAsia="仿宋" w:hAnsi="仿宋" w:cs="仿宋" w:hint="eastAsia"/>
          <w:bCs/>
          <w:sz w:val="32"/>
          <w:szCs w:val="32"/>
        </w:rPr>
        <w:t>）负责自然资源和资产有偿使用工作。建立全民所有自然资源资产统计制度，负责全民所有自然资源资产核算。编制全民所有自然资源资产负债表，拟订考核标准。拟订全民所有自然资源资产划拨、出让、租赁、作价出资和土地储备政策，并组织实施。合理配置全民所有自然资源资产。负责自然资源资产价值评估管理。</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5</w:t>
      </w:r>
      <w:r>
        <w:rPr>
          <w:rFonts w:ascii="仿宋" w:eastAsia="仿宋" w:hAnsi="仿宋" w:cs="仿宋" w:hint="eastAsia"/>
          <w:bCs/>
          <w:sz w:val="32"/>
          <w:szCs w:val="32"/>
        </w:rPr>
        <w:t>）负责自然资源的合理开发利用。组织拟订全区自然资源发展规划，执行自然资源开发利用标准，建立政府公示自然资源价格体系</w:t>
      </w:r>
      <w:r>
        <w:rPr>
          <w:rFonts w:ascii="仿宋" w:eastAsia="仿宋" w:hAnsi="仿宋" w:cs="仿宋" w:hint="eastAsia"/>
          <w:bCs/>
          <w:sz w:val="32"/>
          <w:szCs w:val="32"/>
        </w:rPr>
        <w:t>，组织开展自然资源分等定级价格评估，开展自然资源利用评价考核和节约集约利用。负责自然资源市场监管。组织研究自然资源管理涉及宏观调控、区域协调和城乡统筹的政策措施。</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6</w:t>
      </w:r>
      <w:r>
        <w:rPr>
          <w:rFonts w:ascii="仿宋" w:eastAsia="仿宋" w:hAnsi="仿宋" w:cs="仿宋" w:hint="eastAsia"/>
          <w:bCs/>
          <w:sz w:val="32"/>
          <w:szCs w:val="32"/>
        </w:rPr>
        <w:t>）负责建立空间规划体系并监督实施。组织编制并监督实施国土空间规划和相关专项规划，推进以国土空间规划为主体的土地利用总体规划、城乡规划、主体功能区规划等“多规合一”工作。开展国土空间开发适宜性评价，建立国土空间规划实施监测、评估和预警体系。组织划定生态保护红线、永久基本农田、城镇开发边界控制线，构建节约资源和保护环境的生产、生活、生态空间布局。</w:t>
      </w:r>
      <w:r>
        <w:rPr>
          <w:rFonts w:ascii="仿宋" w:eastAsia="仿宋" w:hAnsi="仿宋" w:cs="仿宋" w:hint="eastAsia"/>
          <w:bCs/>
          <w:sz w:val="32"/>
          <w:szCs w:val="32"/>
        </w:rPr>
        <w:t>建立健全和组织实施国土空间用途管制制度，负责全区城乡规划管理和</w:t>
      </w:r>
      <w:r>
        <w:rPr>
          <w:rFonts w:ascii="仿宋" w:eastAsia="仿宋" w:hAnsi="仿宋" w:cs="仿宋" w:hint="eastAsia"/>
          <w:bCs/>
          <w:sz w:val="32"/>
          <w:szCs w:val="32"/>
        </w:rPr>
        <w:t xml:space="preserve"> </w:t>
      </w:r>
      <w:r>
        <w:rPr>
          <w:rFonts w:ascii="仿宋" w:eastAsia="仿宋" w:hAnsi="仿宋" w:cs="仿宋" w:hint="eastAsia"/>
          <w:bCs/>
          <w:sz w:val="32"/>
          <w:szCs w:val="32"/>
        </w:rPr>
        <w:t>“一书三证”（</w:t>
      </w:r>
      <w:r>
        <w:rPr>
          <w:rFonts w:ascii="仿宋" w:eastAsia="仿宋" w:hAnsi="仿宋" w:cs="仿宋" w:hint="eastAsia"/>
          <w:bCs/>
          <w:sz w:val="32"/>
          <w:szCs w:val="32"/>
        </w:rPr>
        <w:t xml:space="preserve"> </w:t>
      </w:r>
      <w:r>
        <w:rPr>
          <w:rFonts w:ascii="仿宋" w:eastAsia="仿宋" w:hAnsi="仿宋" w:cs="仿宋" w:hint="eastAsia"/>
          <w:bCs/>
          <w:sz w:val="32"/>
          <w:szCs w:val="32"/>
        </w:rPr>
        <w:t>《建设项目选址意见书》《建设用地规划许可证》《建设工程规划许可证》《乡村建设规划许可证》）的核发，研究拟订城乡规划政策、城乡规划行业技术规范标</w:t>
      </w:r>
      <w:r>
        <w:rPr>
          <w:rFonts w:ascii="仿宋" w:eastAsia="仿宋" w:hAnsi="仿宋" w:cs="仿宋" w:hint="eastAsia"/>
          <w:bCs/>
          <w:sz w:val="32"/>
          <w:szCs w:val="32"/>
        </w:rPr>
        <w:lastRenderedPageBreak/>
        <w:t>准并组织监督实施。组织拟订并实施土地等自然资源年度利用计划。负责土地等国土空间用途转用工作。负责土地征收征用管理。指导并监督乡镇、乡村规划许可工作。</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7</w:t>
      </w:r>
      <w:r>
        <w:rPr>
          <w:rFonts w:ascii="仿宋" w:eastAsia="仿宋" w:hAnsi="仿宋" w:cs="仿宋" w:hint="eastAsia"/>
          <w:bCs/>
          <w:sz w:val="32"/>
          <w:szCs w:val="32"/>
        </w:rPr>
        <w:t>）负责统筹国土空间生态修复。组织编制国土空间生态修复规划并实施有关生态修复重大工程。负责国土空间综合整治、土地整理复垦、矿山地质环境恢复</w:t>
      </w:r>
      <w:r>
        <w:rPr>
          <w:rFonts w:ascii="仿宋" w:eastAsia="仿宋" w:hAnsi="仿宋" w:cs="仿宋" w:hint="eastAsia"/>
          <w:bCs/>
          <w:sz w:val="32"/>
          <w:szCs w:val="32"/>
        </w:rPr>
        <w:t>治理等工作。建立和实施生态保护补偿制度，拟订合理利用社会资金进行生态修复的政策措施，并提出区级重大备选项目。拟订乡镇（街道）党政“一把手”自然资源保护离任审计制度。</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8</w:t>
      </w:r>
      <w:r>
        <w:rPr>
          <w:rFonts w:ascii="仿宋" w:eastAsia="仿宋" w:hAnsi="仿宋" w:cs="仿宋" w:hint="eastAsia"/>
          <w:bCs/>
          <w:sz w:val="32"/>
          <w:szCs w:val="32"/>
        </w:rPr>
        <w:t>）负责组织实施最严格的耕地保护制度。牵头拟订并组织实施耕地保护政策，负责耕地数量和生态保护，做好耕地质量保护有关工作。组织实施耕地保护责任目标考核和永久基本农田特殊保护。完善耕地占补平衡制度，监督占用耕地补偿制度执行情况。</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9</w:t>
      </w:r>
      <w:r>
        <w:rPr>
          <w:rFonts w:ascii="仿宋" w:eastAsia="仿宋" w:hAnsi="仿宋" w:cs="仿宋" w:hint="eastAsia"/>
          <w:bCs/>
          <w:sz w:val="32"/>
          <w:szCs w:val="32"/>
        </w:rPr>
        <w:t>）负责管理地质勘查行业和全区地质工作。编制全区地质勘查规划并监督检查执行情况。管理区级地质勘查项目。组织实施重大地质矿产勘查专项。监督管理地下水过量开采及引发的地面沉降等地质问题。负责古生物化石的监督管理。</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10</w:t>
      </w:r>
      <w:r>
        <w:rPr>
          <w:rFonts w:ascii="仿宋" w:eastAsia="仿宋" w:hAnsi="仿宋" w:cs="仿宋" w:hint="eastAsia"/>
          <w:bCs/>
          <w:sz w:val="32"/>
          <w:szCs w:val="32"/>
        </w:rPr>
        <w:t>）负责矿产资源管理工作。负责矿产资源储量管理及压覆矿产资源管理。负责矿业权管理。会同有关部门承担保护性开采的特定矿种、优势矿产的调控及相关管理工作。监督指导矿产资源合理利用和保护。</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11</w:t>
      </w:r>
      <w:r>
        <w:rPr>
          <w:rFonts w:ascii="仿宋" w:eastAsia="仿宋" w:hAnsi="仿宋" w:cs="仿宋" w:hint="eastAsia"/>
          <w:bCs/>
          <w:sz w:val="32"/>
          <w:szCs w:val="32"/>
        </w:rPr>
        <w:t>）负责测绘地理信息管理工作。负责基础测绘和测绘行业管理。负责测绘信用管理，监督管理地理信息安全和市场秩序。</w:t>
      </w:r>
      <w:r>
        <w:rPr>
          <w:rFonts w:ascii="仿宋" w:eastAsia="仿宋" w:hAnsi="仿宋" w:cs="仿宋" w:hint="eastAsia"/>
          <w:bCs/>
          <w:sz w:val="32"/>
          <w:szCs w:val="32"/>
        </w:rPr>
        <w:t>负责地图管理、地理信息公共服务工作。负责测量标志保护。负责全区自然资源和地理空间数据库统一建设。承担全区地理空间数据的汇集、共享工作。负责全区航空航天遥感影像数据的统一获取、处理、提供。</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12</w:t>
      </w:r>
      <w:r>
        <w:rPr>
          <w:rFonts w:ascii="仿宋" w:eastAsia="仿宋" w:hAnsi="仿宋" w:cs="仿宋" w:hint="eastAsia"/>
          <w:bCs/>
          <w:sz w:val="32"/>
          <w:szCs w:val="32"/>
        </w:rPr>
        <w:t>）推动自然资源领域科技发展。制定并实施全区自然资源领域科技创新发展和人才培养规划。组织实施重大科技工程及创新能力建设，推进自然资源信息化和信息资料的公共服务。</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13</w:t>
      </w:r>
      <w:r>
        <w:rPr>
          <w:rFonts w:ascii="仿宋" w:eastAsia="仿宋" w:hAnsi="仿宋" w:cs="仿宋" w:hint="eastAsia"/>
          <w:bCs/>
          <w:sz w:val="32"/>
          <w:szCs w:val="32"/>
        </w:rPr>
        <w:t>）指导协调全区自然资源违法案件调查处理，协调解决跨区域违法案件查处。负责涉及自然资源、城乡规划的人民群众来信来访处理工作。</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14</w:t>
      </w:r>
      <w:r>
        <w:rPr>
          <w:rFonts w:ascii="仿宋" w:eastAsia="仿宋" w:hAnsi="仿宋" w:cs="仿宋" w:hint="eastAsia"/>
          <w:bCs/>
          <w:sz w:val="32"/>
          <w:szCs w:val="32"/>
        </w:rPr>
        <w:t>）统一领导和管理区林业</w:t>
      </w:r>
      <w:r>
        <w:rPr>
          <w:rFonts w:ascii="仿宋" w:eastAsia="仿宋" w:hAnsi="仿宋" w:cs="仿宋" w:hint="eastAsia"/>
          <w:bCs/>
          <w:sz w:val="32"/>
          <w:szCs w:val="32"/>
        </w:rPr>
        <w:t>局。</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15</w:t>
      </w:r>
      <w:r>
        <w:rPr>
          <w:rFonts w:ascii="仿宋" w:eastAsia="仿宋" w:hAnsi="仿宋" w:cs="仿宋" w:hint="eastAsia"/>
          <w:bCs/>
          <w:sz w:val="32"/>
          <w:szCs w:val="32"/>
        </w:rPr>
        <w:t>）负责本行业、领域的应急管理工作，对本行业、领域的安全生产工作实施监督管理。</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16</w:t>
      </w:r>
      <w:r>
        <w:rPr>
          <w:rFonts w:ascii="仿宋" w:eastAsia="仿宋" w:hAnsi="仿宋" w:cs="仿宋" w:hint="eastAsia"/>
          <w:bCs/>
          <w:sz w:val="32"/>
          <w:szCs w:val="32"/>
        </w:rPr>
        <w:t>）完成区委、区政府交办的其他任务。</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17</w:t>
      </w:r>
      <w:r>
        <w:rPr>
          <w:rFonts w:ascii="仿宋" w:eastAsia="仿宋" w:hAnsi="仿宋" w:cs="仿宋" w:hint="eastAsia"/>
          <w:bCs/>
          <w:sz w:val="32"/>
          <w:szCs w:val="32"/>
        </w:rPr>
        <w:t>）职能转变。区自然资源局要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w:t>
      </w:r>
      <w:r>
        <w:rPr>
          <w:rFonts w:ascii="仿宋" w:eastAsia="仿宋" w:hAnsi="仿宋" w:cs="仿宋" w:hint="eastAsia"/>
          <w:bCs/>
          <w:sz w:val="32"/>
          <w:szCs w:val="32"/>
        </w:rPr>
        <w:t>资源节约集约利用。进一步精简有关行政审批事项、强化监管力度，充分发挥市场对资源配置的决定性作用，更好发挥政府作用，强化自然资源管理规则、标准、制度的约束性作用，推进自然资源确权登记和评估的便民高效。</w:t>
      </w:r>
    </w:p>
    <w:p w:rsidR="00D37D70" w:rsidRDefault="00CA424B">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18</w:t>
      </w:r>
      <w:r>
        <w:rPr>
          <w:rFonts w:ascii="仿宋" w:eastAsia="仿宋" w:hAnsi="仿宋" w:cs="仿宋" w:hint="eastAsia"/>
          <w:bCs/>
          <w:sz w:val="32"/>
          <w:szCs w:val="32"/>
        </w:rPr>
        <w:t>）与自然资源局的有关职责分工。区自然资源局会同区民政局组织编制公布行政区划信息的南岳区行政区划图。</w:t>
      </w:r>
    </w:p>
    <w:p w:rsidR="00D37D70" w:rsidRDefault="00D37D70">
      <w:pPr>
        <w:widowControl/>
        <w:spacing w:line="600" w:lineRule="exact"/>
        <w:ind w:firstLineChars="196" w:firstLine="630"/>
        <w:jc w:val="left"/>
        <w:rPr>
          <w:rFonts w:eastAsia="楷体_GB2312"/>
          <w:b/>
          <w:snapToGrid w:val="0"/>
          <w:kern w:val="0"/>
          <w:sz w:val="32"/>
          <w:szCs w:val="32"/>
        </w:rPr>
      </w:pPr>
    </w:p>
    <w:p w:rsidR="00D37D70" w:rsidRDefault="00CA424B">
      <w:pPr>
        <w:widowControl/>
        <w:numPr>
          <w:ilvl w:val="0"/>
          <w:numId w:val="1"/>
        </w:numPr>
        <w:spacing w:line="600" w:lineRule="exact"/>
        <w:ind w:firstLineChars="196" w:firstLine="630"/>
        <w:jc w:val="left"/>
        <w:rPr>
          <w:rFonts w:ascii="仿宋" w:eastAsia="仿宋" w:hAnsi="仿宋" w:cs="仿宋"/>
          <w:bCs/>
          <w:sz w:val="32"/>
          <w:szCs w:val="32"/>
        </w:rPr>
      </w:pPr>
      <w:r>
        <w:rPr>
          <w:rFonts w:eastAsia="楷体_GB2312"/>
          <w:b/>
          <w:sz w:val="32"/>
          <w:szCs w:val="32"/>
        </w:rPr>
        <w:t>机构设置情况</w:t>
      </w:r>
      <w:r>
        <w:rPr>
          <w:rFonts w:ascii="仿宋" w:eastAsia="仿宋" w:hAnsi="仿宋" w:cs="仿宋" w:hint="eastAsia"/>
          <w:bCs/>
          <w:sz w:val="32"/>
          <w:szCs w:val="32"/>
        </w:rPr>
        <w:t>南岳区自然资源局是全额拨款的行政单位，根据编办核定，设办公室、行政审批服务和档案管理股、法规和信访股、自然资源调查监测和确权登记股、自然资源开发利用和权益股、国土空间规划和设计股、建设工程规划股、国土空间用途管制股、耕地保护监督股、地质灾害管理和生态股、测绘地理信息股、执法监察股、征地拆迁办公室</w:t>
      </w:r>
      <w:r>
        <w:rPr>
          <w:rFonts w:ascii="仿宋" w:eastAsia="仿宋" w:hAnsi="仿宋" w:cs="仿宋" w:hint="eastAsia"/>
          <w:bCs/>
          <w:sz w:val="32"/>
          <w:szCs w:val="32"/>
        </w:rPr>
        <w:t>13</w:t>
      </w:r>
      <w:r>
        <w:rPr>
          <w:rFonts w:ascii="仿宋" w:eastAsia="仿宋" w:hAnsi="仿宋" w:cs="仿宋" w:hint="eastAsia"/>
          <w:bCs/>
          <w:sz w:val="32"/>
          <w:szCs w:val="32"/>
        </w:rPr>
        <w:t>个内设机构。</w:t>
      </w:r>
    </w:p>
    <w:p w:rsidR="00D37D70" w:rsidRDefault="00CA424B">
      <w:pPr>
        <w:widowControl/>
        <w:spacing w:line="600" w:lineRule="exact"/>
        <w:ind w:firstLineChars="200" w:firstLine="643"/>
        <w:jc w:val="left"/>
        <w:rPr>
          <w:rFonts w:eastAsia="楷体_GB2312"/>
          <w:b/>
          <w:sz w:val="32"/>
          <w:szCs w:val="32"/>
        </w:rPr>
      </w:pPr>
      <w:r>
        <w:rPr>
          <w:rFonts w:eastAsia="楷体_GB2312"/>
          <w:b/>
          <w:sz w:val="32"/>
          <w:szCs w:val="32"/>
        </w:rPr>
        <w:t>（三）人员编制情况</w:t>
      </w:r>
    </w:p>
    <w:p w:rsidR="00D37D70" w:rsidRDefault="00CA424B">
      <w:pPr>
        <w:ind w:firstLineChars="200" w:firstLine="640"/>
        <w:rPr>
          <w:rFonts w:ascii="黑体" w:eastAsia="黑体" w:hAnsi="Times New Roman" w:cs="Times New Roman"/>
          <w:sz w:val="32"/>
          <w:szCs w:val="32"/>
        </w:rPr>
      </w:pPr>
      <w:r>
        <w:rPr>
          <w:rFonts w:eastAsia="仿宋_GB2312"/>
          <w:sz w:val="32"/>
          <w:szCs w:val="32"/>
        </w:rPr>
        <w:t>20</w:t>
      </w:r>
      <w:r>
        <w:rPr>
          <w:rFonts w:eastAsia="仿宋_GB2312" w:hint="eastAsia"/>
          <w:sz w:val="32"/>
          <w:szCs w:val="32"/>
        </w:rPr>
        <w:t>23</w:t>
      </w:r>
      <w:r>
        <w:rPr>
          <w:rFonts w:eastAsia="仿宋_GB2312"/>
          <w:sz w:val="32"/>
          <w:szCs w:val="32"/>
        </w:rPr>
        <w:t>年末，我单位共有编制</w:t>
      </w:r>
      <w:r>
        <w:rPr>
          <w:rFonts w:eastAsia="仿宋_GB2312" w:hint="eastAsia"/>
          <w:sz w:val="32"/>
          <w:szCs w:val="32"/>
        </w:rPr>
        <w:t xml:space="preserve"> 72 </w:t>
      </w:r>
      <w:r>
        <w:rPr>
          <w:rFonts w:eastAsia="仿宋_GB2312"/>
          <w:sz w:val="32"/>
          <w:szCs w:val="32"/>
        </w:rPr>
        <w:t>人，其中行政编制</w:t>
      </w:r>
      <w:r>
        <w:rPr>
          <w:rFonts w:eastAsia="仿宋_GB2312" w:hint="eastAsia"/>
          <w:sz w:val="32"/>
          <w:szCs w:val="32"/>
        </w:rPr>
        <w:t xml:space="preserve"> 5 </w:t>
      </w:r>
      <w:r>
        <w:rPr>
          <w:rFonts w:eastAsia="仿宋_GB2312"/>
          <w:sz w:val="32"/>
          <w:szCs w:val="32"/>
        </w:rPr>
        <w:t>人，事业编制</w:t>
      </w:r>
      <w:r>
        <w:rPr>
          <w:rFonts w:eastAsia="仿宋_GB2312" w:hint="eastAsia"/>
          <w:sz w:val="32"/>
          <w:szCs w:val="32"/>
        </w:rPr>
        <w:t>67</w:t>
      </w:r>
      <w:r>
        <w:rPr>
          <w:rFonts w:eastAsia="仿宋_GB2312"/>
          <w:sz w:val="32"/>
          <w:szCs w:val="32"/>
        </w:rPr>
        <w:t>人。年末实有在职人员</w:t>
      </w:r>
      <w:r>
        <w:rPr>
          <w:rFonts w:eastAsia="仿宋_GB2312" w:hint="eastAsia"/>
          <w:sz w:val="32"/>
          <w:szCs w:val="32"/>
        </w:rPr>
        <w:t xml:space="preserve"> 59 </w:t>
      </w:r>
      <w:r>
        <w:rPr>
          <w:rFonts w:eastAsia="仿宋_GB2312"/>
          <w:sz w:val="32"/>
          <w:szCs w:val="32"/>
        </w:rPr>
        <w:t>人，离休人员</w:t>
      </w:r>
      <w:r>
        <w:rPr>
          <w:rFonts w:eastAsia="仿宋_GB2312" w:hint="eastAsia"/>
          <w:sz w:val="32"/>
          <w:szCs w:val="32"/>
        </w:rPr>
        <w:t>19</w:t>
      </w:r>
      <w:r>
        <w:rPr>
          <w:rFonts w:eastAsia="仿宋_GB2312"/>
          <w:sz w:val="32"/>
          <w:szCs w:val="32"/>
        </w:rPr>
        <w:t>人</w:t>
      </w:r>
      <w:r>
        <w:rPr>
          <w:rFonts w:eastAsia="仿宋_GB2312" w:hint="eastAsia"/>
          <w:sz w:val="32"/>
          <w:szCs w:val="32"/>
        </w:rPr>
        <w:t>，临聘</w:t>
      </w:r>
      <w:r>
        <w:rPr>
          <w:rFonts w:eastAsia="仿宋_GB2312"/>
          <w:sz w:val="32"/>
          <w:szCs w:val="32"/>
        </w:rPr>
        <w:t>人员</w:t>
      </w:r>
      <w:r>
        <w:rPr>
          <w:rFonts w:eastAsia="仿宋_GB2312" w:hint="eastAsia"/>
          <w:sz w:val="32"/>
          <w:szCs w:val="32"/>
        </w:rPr>
        <w:t>11</w:t>
      </w:r>
      <w:r>
        <w:rPr>
          <w:rFonts w:eastAsia="仿宋_GB2312"/>
          <w:sz w:val="32"/>
          <w:szCs w:val="32"/>
        </w:rPr>
        <w:t>人。</w:t>
      </w:r>
    </w:p>
    <w:p w:rsidR="00D37D70" w:rsidRDefault="00CA424B">
      <w:pPr>
        <w:widowControl/>
        <w:numPr>
          <w:ilvl w:val="0"/>
          <w:numId w:val="2"/>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一般公共预算支出情况</w:t>
      </w:r>
    </w:p>
    <w:p w:rsidR="00D37D70" w:rsidRDefault="00CA424B">
      <w:pPr>
        <w:widowControl/>
        <w:numPr>
          <w:ilvl w:val="0"/>
          <w:numId w:val="3"/>
        </w:numPr>
        <w:shd w:val="clear" w:color="auto" w:fill="FFFFFF"/>
        <w:spacing w:after="150" w:line="560" w:lineRule="exact"/>
        <w:ind w:firstLine="450"/>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基本支出情况</w:t>
      </w:r>
    </w:p>
    <w:p w:rsidR="00D37D70" w:rsidRDefault="00CA424B">
      <w:pPr>
        <w:widowControl/>
        <w:shd w:val="clear" w:color="auto" w:fill="FFFFFF"/>
        <w:spacing w:after="150"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区自然资源局</w:t>
      </w:r>
      <w:r>
        <w:rPr>
          <w:rFonts w:ascii="仿宋" w:eastAsia="仿宋" w:hAnsi="仿宋" w:cs="仿宋" w:hint="eastAsia"/>
          <w:bCs/>
          <w:kern w:val="0"/>
          <w:sz w:val="32"/>
          <w:szCs w:val="32"/>
        </w:rPr>
        <w:t>20</w:t>
      </w:r>
      <w:r>
        <w:rPr>
          <w:rFonts w:ascii="仿宋" w:eastAsia="仿宋" w:hAnsi="仿宋" w:cs="仿宋" w:hint="eastAsia"/>
          <w:bCs/>
          <w:kern w:val="0"/>
          <w:sz w:val="32"/>
          <w:szCs w:val="32"/>
        </w:rPr>
        <w:t>23</w:t>
      </w:r>
      <w:r>
        <w:rPr>
          <w:rFonts w:ascii="仿宋" w:eastAsia="仿宋" w:hAnsi="仿宋" w:cs="仿宋" w:hint="eastAsia"/>
          <w:bCs/>
          <w:kern w:val="0"/>
          <w:sz w:val="32"/>
          <w:szCs w:val="32"/>
        </w:rPr>
        <w:t>年收入预算总计</w:t>
      </w:r>
      <w:r>
        <w:rPr>
          <w:rFonts w:ascii="仿宋" w:eastAsia="仿宋" w:hAnsi="仿宋" w:cs="仿宋" w:hint="eastAsia"/>
          <w:bCs/>
          <w:kern w:val="0"/>
          <w:sz w:val="32"/>
          <w:szCs w:val="32"/>
        </w:rPr>
        <w:t>27857.67</w:t>
      </w:r>
      <w:r>
        <w:rPr>
          <w:rFonts w:ascii="仿宋" w:eastAsia="仿宋" w:hAnsi="仿宋" w:cs="仿宋" w:hint="eastAsia"/>
          <w:bCs/>
          <w:kern w:val="0"/>
          <w:sz w:val="32"/>
          <w:szCs w:val="32"/>
        </w:rPr>
        <w:t>万元，其中：经费拨款</w:t>
      </w:r>
      <w:r>
        <w:rPr>
          <w:rFonts w:ascii="仿宋" w:eastAsia="仿宋" w:hAnsi="仿宋" w:cs="仿宋" w:hint="eastAsia"/>
          <w:bCs/>
          <w:kern w:val="0"/>
          <w:sz w:val="32"/>
          <w:szCs w:val="32"/>
        </w:rPr>
        <w:t>144.48</w:t>
      </w:r>
      <w:r>
        <w:rPr>
          <w:rFonts w:ascii="仿宋" w:eastAsia="仿宋" w:hAnsi="仿宋" w:cs="仿宋" w:hint="eastAsia"/>
          <w:bCs/>
          <w:kern w:val="0"/>
          <w:sz w:val="32"/>
          <w:szCs w:val="32"/>
        </w:rPr>
        <w:t>万元，财政专户管理的非税收入拨款</w:t>
      </w:r>
      <w:r>
        <w:rPr>
          <w:rFonts w:ascii="仿宋" w:eastAsia="仿宋" w:hAnsi="仿宋" w:cs="仿宋" w:hint="eastAsia"/>
          <w:bCs/>
          <w:kern w:val="0"/>
          <w:sz w:val="32"/>
          <w:szCs w:val="32"/>
        </w:rPr>
        <w:t>26278.56</w:t>
      </w:r>
      <w:r>
        <w:rPr>
          <w:rFonts w:ascii="仿宋" w:eastAsia="仿宋" w:hAnsi="仿宋" w:cs="仿宋" w:hint="eastAsia"/>
          <w:bCs/>
          <w:kern w:val="0"/>
          <w:sz w:val="32"/>
          <w:szCs w:val="32"/>
        </w:rPr>
        <w:t>万元。</w:t>
      </w:r>
      <w:r>
        <w:rPr>
          <w:rFonts w:ascii="仿宋" w:eastAsia="仿宋" w:hAnsi="仿宋" w:cs="仿宋" w:hint="eastAsia"/>
          <w:bCs/>
          <w:kern w:val="0"/>
          <w:sz w:val="32"/>
          <w:szCs w:val="32"/>
        </w:rPr>
        <w:t> </w:t>
      </w:r>
    </w:p>
    <w:p w:rsidR="00D37D70" w:rsidRDefault="00CA424B">
      <w:pPr>
        <w:tabs>
          <w:tab w:val="left" w:pos="2296"/>
        </w:tabs>
        <w:spacing w:line="600" w:lineRule="exact"/>
        <w:ind w:firstLineChars="200" w:firstLine="640"/>
        <w:rPr>
          <w:rFonts w:eastAsia="仿宋_GB2312"/>
          <w:sz w:val="32"/>
          <w:szCs w:val="32"/>
        </w:rPr>
      </w:pPr>
      <w:r>
        <w:rPr>
          <w:rFonts w:eastAsia="仿宋_GB2312"/>
          <w:sz w:val="32"/>
          <w:szCs w:val="32"/>
        </w:rPr>
        <w:t>基本支出系保障我</w:t>
      </w:r>
      <w:r>
        <w:rPr>
          <w:rFonts w:eastAsia="仿宋_GB2312" w:hint="eastAsia"/>
          <w:sz w:val="32"/>
          <w:szCs w:val="32"/>
        </w:rPr>
        <w:t>局</w:t>
      </w:r>
      <w:r>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w:t>
      </w:r>
    </w:p>
    <w:p w:rsidR="00D37D70" w:rsidRDefault="00CA424B">
      <w:pPr>
        <w:widowControl/>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（二）</w:t>
      </w:r>
      <w:r>
        <w:rPr>
          <w:rFonts w:ascii="楷体_GB2312" w:eastAsia="楷体_GB2312" w:hAnsi="Times New Roman" w:cs="Times New Roman"/>
          <w:b/>
          <w:sz w:val="32"/>
          <w:szCs w:val="32"/>
        </w:rPr>
        <w:t>项目支出情况</w:t>
      </w:r>
    </w:p>
    <w:p w:rsidR="00D37D70" w:rsidRDefault="00CA424B">
      <w:pPr>
        <w:widowControl/>
        <w:shd w:val="clear" w:color="auto" w:fill="FFFFFF"/>
        <w:spacing w:after="150" w:line="560" w:lineRule="exact"/>
        <w:ind w:firstLine="450"/>
        <w:rPr>
          <w:rFonts w:ascii="仿宋" w:eastAsia="仿宋" w:hAnsi="仿宋" w:cs="仿宋"/>
          <w:bCs/>
          <w:color w:val="FF0000"/>
          <w:kern w:val="0"/>
          <w:sz w:val="32"/>
          <w:szCs w:val="32"/>
        </w:rPr>
      </w:pPr>
      <w:r>
        <w:rPr>
          <w:rFonts w:ascii="仿宋" w:eastAsia="仿宋" w:hAnsi="仿宋" w:cs="仿宋" w:hint="eastAsia"/>
          <w:bCs/>
          <w:kern w:val="0"/>
          <w:sz w:val="32"/>
          <w:szCs w:val="32"/>
        </w:rPr>
        <w:t>项目支出系我局为完成南岳区重点工程土地报批、征收、拆迁补偿等支出，包括土地征收补偿、拆迁安置补偿。</w:t>
      </w:r>
      <w:r>
        <w:rPr>
          <w:rFonts w:ascii="仿宋" w:eastAsia="仿宋" w:hAnsi="仿宋" w:cs="仿宋" w:hint="eastAsia"/>
          <w:bCs/>
          <w:kern w:val="0"/>
          <w:sz w:val="32"/>
          <w:szCs w:val="32"/>
        </w:rPr>
        <w:t>20</w:t>
      </w:r>
      <w:r>
        <w:rPr>
          <w:rFonts w:ascii="仿宋" w:eastAsia="仿宋" w:hAnsi="仿宋" w:cs="仿宋" w:hint="eastAsia"/>
          <w:bCs/>
          <w:kern w:val="0"/>
          <w:sz w:val="32"/>
          <w:szCs w:val="32"/>
        </w:rPr>
        <w:t>23</w:t>
      </w:r>
      <w:r>
        <w:rPr>
          <w:rFonts w:ascii="仿宋" w:eastAsia="仿宋" w:hAnsi="仿宋" w:cs="仿宋" w:hint="eastAsia"/>
          <w:bCs/>
          <w:kern w:val="0"/>
          <w:sz w:val="32"/>
          <w:szCs w:val="32"/>
        </w:rPr>
        <w:t>年项目支出</w:t>
      </w:r>
      <w:r>
        <w:rPr>
          <w:rFonts w:ascii="仿宋" w:eastAsia="仿宋" w:hAnsi="仿宋" w:cs="仿宋" w:hint="eastAsia"/>
          <w:bCs/>
          <w:kern w:val="0"/>
          <w:sz w:val="32"/>
          <w:szCs w:val="32"/>
        </w:rPr>
        <w:t>26985.22</w:t>
      </w:r>
      <w:r>
        <w:rPr>
          <w:rFonts w:ascii="仿宋" w:eastAsia="仿宋" w:hAnsi="仿宋" w:cs="仿宋" w:hint="eastAsia"/>
          <w:bCs/>
          <w:kern w:val="0"/>
          <w:sz w:val="32"/>
          <w:szCs w:val="32"/>
        </w:rPr>
        <w:t>万元，比上年</w:t>
      </w:r>
      <w:r>
        <w:rPr>
          <w:rFonts w:ascii="仿宋" w:eastAsia="仿宋" w:hAnsi="仿宋" w:cs="仿宋" w:hint="eastAsia"/>
          <w:bCs/>
          <w:kern w:val="0"/>
          <w:sz w:val="32"/>
          <w:szCs w:val="32"/>
        </w:rPr>
        <w:t>增加</w:t>
      </w:r>
      <w:r>
        <w:rPr>
          <w:rFonts w:ascii="仿宋" w:eastAsia="仿宋" w:hAnsi="仿宋" w:cs="仿宋" w:hint="eastAsia"/>
          <w:bCs/>
          <w:kern w:val="0"/>
          <w:sz w:val="32"/>
          <w:szCs w:val="32"/>
        </w:rPr>
        <w:t>。主要原因</w:t>
      </w:r>
      <w:r>
        <w:rPr>
          <w:rFonts w:ascii="仿宋" w:eastAsia="仿宋" w:hAnsi="仿宋" w:cs="仿宋" w:hint="eastAsia"/>
          <w:bCs/>
          <w:kern w:val="0"/>
          <w:sz w:val="32"/>
          <w:szCs w:val="32"/>
        </w:rPr>
        <w:t>项目增加。</w:t>
      </w:r>
    </w:p>
    <w:p w:rsidR="00D37D70" w:rsidRDefault="00D37D70">
      <w:pPr>
        <w:tabs>
          <w:tab w:val="left" w:pos="2296"/>
        </w:tabs>
        <w:spacing w:line="600" w:lineRule="exact"/>
        <w:ind w:firstLineChars="200" w:firstLine="640"/>
        <w:rPr>
          <w:rFonts w:ascii="Times New Roman" w:eastAsia="仿宋_GB2312" w:hAnsi="Times New Roman" w:cs="Times New Roman"/>
          <w:sz w:val="32"/>
          <w:szCs w:val="32"/>
        </w:rPr>
      </w:pPr>
    </w:p>
    <w:p w:rsidR="00D37D70" w:rsidRDefault="00CA424B">
      <w:pPr>
        <w:widowControl/>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部门整体支出绩效情况</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color w:val="000000"/>
          <w:sz w:val="32"/>
          <w:szCs w:val="32"/>
          <w:shd w:val="clear" w:color="auto" w:fill="FFFFFF"/>
        </w:rPr>
        <w:t>202</w:t>
      </w:r>
      <w:r>
        <w:rPr>
          <w:rFonts w:ascii="仿宋" w:eastAsia="仿宋" w:hAnsi="仿宋" w:cs="仿宋" w:hint="eastAsia"/>
          <w:color w:val="000000"/>
          <w:sz w:val="32"/>
          <w:szCs w:val="32"/>
          <w:shd w:val="clear" w:color="auto" w:fill="FFFFFF"/>
        </w:rPr>
        <w:t>3</w:t>
      </w:r>
      <w:r>
        <w:rPr>
          <w:rFonts w:ascii="仿宋" w:eastAsia="仿宋" w:hAnsi="仿宋" w:cs="仿宋" w:hint="eastAsia"/>
          <w:color w:val="000000"/>
          <w:sz w:val="32"/>
          <w:szCs w:val="32"/>
          <w:shd w:val="clear" w:color="auto" w:fill="FFFFFF"/>
        </w:rPr>
        <w:t>年部门整体履职基本符合部门中长期规划要求；部门整体支出预算绩效目标设定基本合理，年度绩效目标基本得到实现；部门内部控制制度健全；财政资金收支合理，无违规、挪用、拉用财政资金情况。</w:t>
      </w:r>
      <w:r>
        <w:rPr>
          <w:rFonts w:ascii="仿宋" w:eastAsia="仿宋" w:hAnsi="仿宋" w:cs="仿宋" w:hint="eastAsia"/>
          <w:bCs/>
          <w:kern w:val="0"/>
          <w:sz w:val="32"/>
          <w:szCs w:val="32"/>
        </w:rPr>
        <w:t>20</w:t>
      </w:r>
      <w:r>
        <w:rPr>
          <w:rFonts w:ascii="仿宋" w:eastAsia="仿宋" w:hAnsi="仿宋" w:cs="仿宋" w:hint="eastAsia"/>
          <w:bCs/>
          <w:kern w:val="0"/>
          <w:sz w:val="32"/>
          <w:szCs w:val="32"/>
        </w:rPr>
        <w:t>23</w:t>
      </w:r>
      <w:r>
        <w:rPr>
          <w:rFonts w:ascii="仿宋" w:eastAsia="仿宋" w:hAnsi="仿宋" w:cs="仿宋" w:hint="eastAsia"/>
          <w:bCs/>
          <w:kern w:val="0"/>
          <w:sz w:val="32"/>
          <w:szCs w:val="32"/>
        </w:rPr>
        <w:t>年部门整体支出绩效开展了评价，具体情况如下：</w:t>
      </w:r>
      <w:r>
        <w:rPr>
          <w:rFonts w:ascii="仿宋" w:eastAsia="仿宋" w:hAnsi="仿宋" w:cs="仿宋" w:hint="eastAsia"/>
          <w:bCs/>
          <w:kern w:val="0"/>
          <w:sz w:val="32"/>
          <w:szCs w:val="32"/>
        </w:rPr>
        <w:t> </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 </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w:t>
      </w:r>
      <w:r>
        <w:rPr>
          <w:rFonts w:ascii="仿宋" w:eastAsia="仿宋" w:hAnsi="仿宋" w:cs="仿宋" w:hint="eastAsia"/>
          <w:bCs/>
          <w:kern w:val="0"/>
          <w:sz w:val="32"/>
          <w:szCs w:val="32"/>
        </w:rPr>
        <w:t>一</w:t>
      </w:r>
      <w:r>
        <w:rPr>
          <w:rFonts w:ascii="仿宋" w:eastAsia="仿宋" w:hAnsi="仿宋" w:cs="仿宋" w:hint="eastAsia"/>
          <w:bCs/>
          <w:kern w:val="0"/>
          <w:sz w:val="32"/>
          <w:szCs w:val="32"/>
        </w:rPr>
        <w:t>）预算执行指标</w:t>
      </w:r>
      <w:r>
        <w:rPr>
          <w:rFonts w:ascii="仿宋" w:eastAsia="仿宋" w:hAnsi="仿宋" w:cs="仿宋" w:hint="eastAsia"/>
          <w:bCs/>
          <w:kern w:val="0"/>
          <w:sz w:val="32"/>
          <w:szCs w:val="32"/>
        </w:rPr>
        <w:t> </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20</w:t>
      </w:r>
      <w:r>
        <w:rPr>
          <w:rFonts w:ascii="仿宋" w:eastAsia="仿宋" w:hAnsi="仿宋" w:cs="仿宋" w:hint="eastAsia"/>
          <w:bCs/>
          <w:kern w:val="0"/>
          <w:sz w:val="32"/>
          <w:szCs w:val="32"/>
        </w:rPr>
        <w:t>23</w:t>
      </w:r>
      <w:r>
        <w:rPr>
          <w:rFonts w:ascii="仿宋" w:eastAsia="仿宋" w:hAnsi="仿宋" w:cs="仿宋" w:hint="eastAsia"/>
          <w:bCs/>
          <w:kern w:val="0"/>
          <w:sz w:val="32"/>
          <w:szCs w:val="32"/>
        </w:rPr>
        <w:t>年支出决算为</w:t>
      </w:r>
      <w:r>
        <w:rPr>
          <w:rFonts w:ascii="宋体" w:eastAsia="宋体" w:hAnsi="宋体" w:cs="宋体" w:hint="eastAsia"/>
          <w:color w:val="000000"/>
          <w:sz w:val="32"/>
          <w:szCs w:val="32"/>
        </w:rPr>
        <w:t>26977.82</w:t>
      </w:r>
      <w:r>
        <w:rPr>
          <w:rFonts w:ascii="仿宋" w:eastAsia="仿宋" w:hAnsi="仿宋" w:cs="仿宋" w:hint="eastAsia"/>
          <w:bCs/>
          <w:kern w:val="0"/>
          <w:sz w:val="32"/>
          <w:szCs w:val="32"/>
        </w:rPr>
        <w:t>万元，主要是征地、拆迁支出没纳入部门预算，而是列入全区性项目支出，而部门决算时将全区性项目支出的钱列入了单位的支出。</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w:t>
      </w:r>
      <w:r>
        <w:rPr>
          <w:rFonts w:ascii="仿宋" w:eastAsia="仿宋" w:hAnsi="仿宋" w:cs="仿宋" w:hint="eastAsia"/>
          <w:bCs/>
          <w:kern w:val="0"/>
          <w:sz w:val="32"/>
          <w:szCs w:val="32"/>
        </w:rPr>
        <w:t>二</w:t>
      </w:r>
      <w:r>
        <w:rPr>
          <w:rFonts w:ascii="仿宋" w:eastAsia="仿宋" w:hAnsi="仿宋" w:cs="仿宋" w:hint="eastAsia"/>
          <w:bCs/>
          <w:kern w:val="0"/>
          <w:sz w:val="32"/>
          <w:szCs w:val="32"/>
        </w:rPr>
        <w:t>）预算管理指标</w:t>
      </w:r>
      <w:r>
        <w:rPr>
          <w:rFonts w:ascii="仿宋" w:eastAsia="仿宋" w:hAnsi="仿宋" w:cs="仿宋" w:hint="eastAsia"/>
          <w:bCs/>
          <w:kern w:val="0"/>
          <w:sz w:val="32"/>
          <w:szCs w:val="32"/>
        </w:rPr>
        <w:t> </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20</w:t>
      </w:r>
      <w:r>
        <w:rPr>
          <w:rFonts w:ascii="仿宋" w:eastAsia="仿宋" w:hAnsi="仿宋" w:cs="仿宋" w:hint="eastAsia"/>
          <w:bCs/>
          <w:kern w:val="0"/>
          <w:sz w:val="32"/>
          <w:szCs w:val="32"/>
        </w:rPr>
        <w:t>23</w:t>
      </w:r>
      <w:r>
        <w:rPr>
          <w:rFonts w:ascii="仿宋" w:eastAsia="仿宋" w:hAnsi="仿宋" w:cs="仿宋" w:hint="eastAsia"/>
          <w:bCs/>
          <w:kern w:val="0"/>
          <w:sz w:val="32"/>
          <w:szCs w:val="32"/>
        </w:rPr>
        <w:t>年我局预算管理各项指标控制较好。</w:t>
      </w:r>
      <w:r>
        <w:rPr>
          <w:rFonts w:ascii="仿宋" w:eastAsia="仿宋" w:hAnsi="仿宋" w:cs="仿宋" w:hint="eastAsia"/>
          <w:bCs/>
          <w:kern w:val="0"/>
          <w:sz w:val="32"/>
          <w:szCs w:val="32"/>
        </w:rPr>
        <w:t>202</w:t>
      </w:r>
      <w:r>
        <w:rPr>
          <w:rFonts w:ascii="仿宋" w:eastAsia="仿宋" w:hAnsi="仿宋" w:cs="仿宋" w:hint="eastAsia"/>
          <w:bCs/>
          <w:kern w:val="0"/>
          <w:sz w:val="32"/>
          <w:szCs w:val="32"/>
        </w:rPr>
        <w:t>3</w:t>
      </w:r>
      <w:r>
        <w:rPr>
          <w:rFonts w:ascii="仿宋" w:eastAsia="仿宋" w:hAnsi="仿宋" w:cs="仿宋" w:hint="eastAsia"/>
          <w:bCs/>
          <w:kern w:val="0"/>
          <w:sz w:val="32"/>
          <w:szCs w:val="32"/>
        </w:rPr>
        <w:t>年我局主要从以下几个方面加强预算管理。</w:t>
      </w:r>
      <w:r>
        <w:rPr>
          <w:rFonts w:ascii="仿宋" w:eastAsia="仿宋" w:hAnsi="仿宋" w:cs="仿宋" w:hint="eastAsia"/>
          <w:bCs/>
          <w:kern w:val="0"/>
          <w:sz w:val="32"/>
          <w:szCs w:val="32"/>
        </w:rPr>
        <w:t> </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一是进一步规范财务管理。今年，根据中央八项规定有关精神以及财务管理方面的法律、法规和审计等部门的意见，我局对机关财务管理制度进一步进行了完善。同时，在财务开支把关方面认真执行相关文件并严格财务开支审批程序，加强对差旅费、会议费、接待费等各项开支的管理。重点保障机关运转及重点工作的需要，大力压缩一般性支出，提高财政资金使用效益。</w:t>
      </w:r>
      <w:r>
        <w:rPr>
          <w:rFonts w:ascii="仿宋" w:eastAsia="仿宋" w:hAnsi="仿宋" w:cs="仿宋" w:hint="eastAsia"/>
          <w:bCs/>
          <w:kern w:val="0"/>
          <w:sz w:val="32"/>
          <w:szCs w:val="32"/>
        </w:rPr>
        <w:t> </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二是依法依规公开部门预决算。</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三是进一步加强固定资产管理。按照全区资产清查工作的统一部署，对全局的</w:t>
      </w:r>
      <w:r>
        <w:rPr>
          <w:rFonts w:ascii="仿宋" w:eastAsia="仿宋" w:hAnsi="仿宋" w:cs="仿宋" w:hint="eastAsia"/>
          <w:bCs/>
          <w:kern w:val="0"/>
          <w:sz w:val="32"/>
          <w:szCs w:val="32"/>
        </w:rPr>
        <w:t>资产清查工作进行全盘安排部署，对局机关所属资产进行了较为全面的清查，并进一步规范了资产报废审批程序，加强国有资产管理。</w:t>
      </w:r>
      <w:r>
        <w:rPr>
          <w:rFonts w:ascii="仿宋" w:eastAsia="仿宋" w:hAnsi="仿宋" w:cs="仿宋" w:hint="eastAsia"/>
          <w:bCs/>
          <w:kern w:val="0"/>
          <w:sz w:val="32"/>
          <w:szCs w:val="32"/>
        </w:rPr>
        <w:t> </w:t>
      </w:r>
    </w:p>
    <w:p w:rsidR="00D37D70" w:rsidRDefault="00D37D70">
      <w:pPr>
        <w:widowControl/>
        <w:spacing w:line="600" w:lineRule="exact"/>
        <w:ind w:firstLineChars="200" w:firstLine="640"/>
        <w:jc w:val="left"/>
        <w:rPr>
          <w:rFonts w:ascii="Times New Roman" w:eastAsia="仿宋_GB2312" w:hAnsi="Times New Roman"/>
          <w:sz w:val="32"/>
          <w:szCs w:val="32"/>
        </w:rPr>
      </w:pPr>
    </w:p>
    <w:p w:rsidR="00D37D70" w:rsidRDefault="00CA424B">
      <w:pPr>
        <w:widowControl/>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hint="eastAsia"/>
          <w:sz w:val="32"/>
          <w:szCs w:val="32"/>
        </w:rPr>
        <w:t>、</w:t>
      </w:r>
      <w:r>
        <w:rPr>
          <w:rFonts w:ascii="Times New Roman" w:eastAsia="黑体" w:hAnsi="Times New Roman" w:cs="Times New Roman"/>
          <w:sz w:val="32"/>
          <w:szCs w:val="32"/>
        </w:rPr>
        <w:t>存在的问题及原因分析</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年初预算与部门决算仍存在偏差，在预算执行过程中，由于各种客观原因存在指标之间调剂使用的现象，预算编制、下达需要更加科学、及时。同时，内部控制制度还待进一步完善，行政运行成本控制方面还有一定压缩空间，提高机关运行效率方面也尚有上升空间。</w:t>
      </w:r>
      <w:r>
        <w:rPr>
          <w:rFonts w:ascii="仿宋" w:eastAsia="仿宋" w:hAnsi="仿宋" w:cs="仿宋" w:hint="eastAsia"/>
          <w:bCs/>
          <w:kern w:val="0"/>
          <w:sz w:val="32"/>
          <w:szCs w:val="32"/>
        </w:rPr>
        <w:t> </w:t>
      </w:r>
    </w:p>
    <w:p w:rsidR="00D37D70" w:rsidRDefault="00D37D70">
      <w:pPr>
        <w:spacing w:line="600" w:lineRule="exact"/>
        <w:ind w:firstLineChars="200" w:firstLine="640"/>
        <w:rPr>
          <w:rFonts w:eastAsia="仿宋_GB2312"/>
          <w:sz w:val="32"/>
          <w:szCs w:val="32"/>
        </w:rPr>
      </w:pPr>
    </w:p>
    <w:p w:rsidR="00D37D70" w:rsidRDefault="00CA424B">
      <w:pPr>
        <w:widowControl/>
        <w:numPr>
          <w:ilvl w:val="0"/>
          <w:numId w:val="4"/>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下一步改进措施</w:t>
      </w:r>
    </w:p>
    <w:p w:rsidR="00D37D70" w:rsidRDefault="00CA424B">
      <w:pPr>
        <w:widowControl/>
        <w:shd w:val="clear" w:color="auto" w:fill="FFFFFF"/>
        <w:spacing w:after="150" w:line="560" w:lineRule="exact"/>
        <w:ind w:firstLine="450"/>
        <w:rPr>
          <w:rFonts w:eastAsia="仿宋_GB2312"/>
          <w:sz w:val="32"/>
          <w:szCs w:val="32"/>
        </w:rPr>
      </w:pPr>
      <w:r>
        <w:rPr>
          <w:rFonts w:eastAsia="仿宋_GB2312"/>
          <w:sz w:val="32"/>
          <w:szCs w:val="32"/>
        </w:rPr>
        <w:t>针对上述存在的问题，拟采取以下改进措施：</w:t>
      </w:r>
    </w:p>
    <w:p w:rsidR="00D37D70" w:rsidRDefault="00CA424B">
      <w:pPr>
        <w:widowControl/>
        <w:shd w:val="clear" w:color="auto" w:fill="FFFFFF"/>
        <w:spacing w:after="150" w:line="560" w:lineRule="exact"/>
        <w:ind w:firstLine="450"/>
        <w:rPr>
          <w:rFonts w:ascii="仿宋" w:eastAsia="仿宋" w:hAnsi="仿宋" w:cs="仿宋"/>
          <w:bCs/>
          <w:kern w:val="0"/>
          <w:sz w:val="32"/>
          <w:szCs w:val="32"/>
        </w:rPr>
      </w:pPr>
      <w:r>
        <w:rPr>
          <w:rFonts w:ascii="仿宋" w:eastAsia="仿宋" w:hAnsi="仿宋" w:cs="仿宋" w:hint="eastAsia"/>
          <w:bCs/>
          <w:kern w:val="0"/>
          <w:sz w:val="32"/>
          <w:szCs w:val="32"/>
        </w:rPr>
        <w:t>（一）细化预算编制工作。进一步强化局机关各股室的预算管理意识，严格按照预算编制的相关制度和要求，公用经费根据单位的年度工作重点和项目专项工作规划，本着“勤俭节约、保障运转”的原则进行预算的编制。编制范围尽可能的全面、完整，进一步提高预算编制的科学性、合理性、严谨性和可控性，尽最大可能减少预决算执行差异。</w:t>
      </w:r>
      <w:r>
        <w:rPr>
          <w:rFonts w:ascii="仿宋" w:eastAsia="仿宋" w:hAnsi="仿宋" w:cs="仿宋" w:hint="eastAsia"/>
          <w:bCs/>
          <w:kern w:val="0"/>
          <w:sz w:val="32"/>
          <w:szCs w:val="32"/>
        </w:rPr>
        <w:t> </w:t>
      </w:r>
    </w:p>
    <w:p w:rsidR="00D37D70" w:rsidRDefault="00CA424B">
      <w:pPr>
        <w:rPr>
          <w:rFonts w:eastAsia="仿宋_GB2312"/>
          <w:sz w:val="32"/>
          <w:szCs w:val="32"/>
        </w:rPr>
      </w:pPr>
      <w:r>
        <w:rPr>
          <w:rFonts w:ascii="仿宋_GB2312" w:eastAsia="仿宋_GB2312" w:hAnsi="仿宋_GB2312" w:cs="仿宋_GB2312" w:hint="eastAsia"/>
          <w:bCs/>
          <w:sz w:val="32"/>
          <w:szCs w:val="32"/>
        </w:rPr>
        <w:t>强化预算管理，定期开展预算执行分析。</w:t>
      </w:r>
      <w:r>
        <w:rPr>
          <w:rFonts w:eastAsia="仿宋_GB2312" w:hint="eastAsia"/>
          <w:sz w:val="32"/>
          <w:szCs w:val="32"/>
        </w:rPr>
        <w:t>通过定期对项目实施和预算执行情况进行梳理，及时掌握项目进度，督促项目实施单位早启动、早实施、早验收，对符合条件的项目按照项目进度支付相关款项，将预算资金管理贯穿于项目实</w:t>
      </w:r>
      <w:r>
        <w:rPr>
          <w:rFonts w:eastAsia="仿宋_GB2312" w:hint="eastAsia"/>
          <w:sz w:val="32"/>
          <w:szCs w:val="32"/>
        </w:rPr>
        <w:t>施全过程中。对未启动项目及时分析原因，根据资金使用情况调整下年预算安排</w:t>
      </w:r>
    </w:p>
    <w:p w:rsidR="00D37D70" w:rsidRDefault="00D37D70">
      <w:pPr>
        <w:widowControl/>
        <w:shd w:val="clear" w:color="auto" w:fill="FFFFFF"/>
        <w:spacing w:after="150" w:line="560" w:lineRule="exact"/>
        <w:ind w:firstLine="450"/>
        <w:jc w:val="right"/>
        <w:rPr>
          <w:rFonts w:ascii="仿宋" w:eastAsia="仿宋" w:hAnsi="仿宋" w:cs="仿宋"/>
          <w:bCs/>
          <w:kern w:val="0"/>
          <w:sz w:val="32"/>
          <w:szCs w:val="32"/>
        </w:rPr>
      </w:pPr>
    </w:p>
    <w:p w:rsidR="00D37D70" w:rsidRDefault="00CA424B">
      <w:pPr>
        <w:widowControl/>
        <w:shd w:val="clear" w:color="auto" w:fill="FFFFFF"/>
        <w:spacing w:after="150" w:line="560" w:lineRule="exact"/>
        <w:ind w:firstLine="450"/>
        <w:jc w:val="right"/>
        <w:rPr>
          <w:rFonts w:ascii="仿宋" w:eastAsia="仿宋" w:hAnsi="仿宋" w:cs="仿宋"/>
          <w:bCs/>
          <w:kern w:val="0"/>
          <w:sz w:val="32"/>
          <w:szCs w:val="32"/>
        </w:rPr>
      </w:pPr>
      <w:r>
        <w:rPr>
          <w:rFonts w:ascii="仿宋" w:eastAsia="仿宋" w:hAnsi="仿宋" w:cs="仿宋" w:hint="eastAsia"/>
          <w:bCs/>
          <w:kern w:val="0"/>
          <w:sz w:val="32"/>
          <w:szCs w:val="32"/>
        </w:rPr>
        <w:t>南岳区自然资源局</w:t>
      </w:r>
    </w:p>
    <w:p w:rsidR="00D37D70" w:rsidRDefault="00CA424B">
      <w:pPr>
        <w:ind w:firstLineChars="200" w:firstLine="640"/>
        <w:jc w:val="right"/>
        <w:rPr>
          <w:rFonts w:eastAsia="仿宋_GB2312"/>
          <w:sz w:val="32"/>
          <w:szCs w:val="32"/>
        </w:rPr>
      </w:pPr>
      <w:r>
        <w:rPr>
          <w:rFonts w:ascii="仿宋" w:eastAsia="仿宋" w:hAnsi="仿宋" w:cs="仿宋" w:hint="eastAsia"/>
          <w:bCs/>
          <w:kern w:val="0"/>
          <w:sz w:val="32"/>
          <w:szCs w:val="32"/>
        </w:rPr>
        <w:t>202</w:t>
      </w:r>
      <w:r>
        <w:rPr>
          <w:rFonts w:ascii="仿宋" w:eastAsia="仿宋" w:hAnsi="仿宋" w:cs="仿宋" w:hint="eastAsia"/>
          <w:bCs/>
          <w:kern w:val="0"/>
          <w:sz w:val="32"/>
          <w:szCs w:val="32"/>
        </w:rPr>
        <w:t>4</w:t>
      </w:r>
      <w:r>
        <w:rPr>
          <w:rFonts w:ascii="仿宋" w:eastAsia="仿宋" w:hAnsi="仿宋" w:cs="仿宋" w:hint="eastAsia"/>
          <w:bCs/>
          <w:kern w:val="0"/>
          <w:sz w:val="32"/>
          <w:szCs w:val="32"/>
        </w:rPr>
        <w:t>年</w:t>
      </w:r>
      <w:r>
        <w:rPr>
          <w:rFonts w:ascii="仿宋" w:eastAsia="仿宋" w:hAnsi="仿宋" w:cs="仿宋" w:hint="eastAsia"/>
          <w:bCs/>
          <w:kern w:val="0"/>
          <w:sz w:val="32"/>
          <w:szCs w:val="32"/>
        </w:rPr>
        <w:t>2</w:t>
      </w:r>
      <w:r>
        <w:rPr>
          <w:rFonts w:ascii="仿宋" w:eastAsia="仿宋" w:hAnsi="仿宋" w:cs="仿宋" w:hint="eastAsia"/>
          <w:bCs/>
          <w:kern w:val="0"/>
          <w:sz w:val="32"/>
          <w:szCs w:val="32"/>
        </w:rPr>
        <w:t>月</w:t>
      </w:r>
      <w:r>
        <w:rPr>
          <w:rFonts w:ascii="仿宋" w:eastAsia="仿宋" w:hAnsi="仿宋" w:cs="仿宋" w:hint="eastAsia"/>
          <w:bCs/>
          <w:kern w:val="0"/>
          <w:sz w:val="32"/>
          <w:szCs w:val="32"/>
        </w:rPr>
        <w:t>8</w:t>
      </w:r>
      <w:r>
        <w:rPr>
          <w:rFonts w:ascii="仿宋" w:eastAsia="仿宋" w:hAnsi="仿宋" w:cs="仿宋" w:hint="eastAsia"/>
          <w:bCs/>
          <w:kern w:val="0"/>
          <w:sz w:val="32"/>
          <w:szCs w:val="32"/>
        </w:rPr>
        <w:t>日</w:t>
      </w:r>
    </w:p>
    <w:sectPr w:rsidR="00D37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88AB40"/>
    <w:multiLevelType w:val="singleLevel"/>
    <w:tmpl w:val="A188AB40"/>
    <w:lvl w:ilvl="0">
      <w:start w:val="1"/>
      <w:numFmt w:val="chineseCounting"/>
      <w:suff w:val="nothing"/>
      <w:lvlText w:val="（%1）"/>
      <w:lvlJc w:val="left"/>
      <w:rPr>
        <w:rFonts w:hint="eastAsia"/>
      </w:rPr>
    </w:lvl>
  </w:abstractNum>
  <w:abstractNum w:abstractNumId="1">
    <w:nsid w:val="AC99EC45"/>
    <w:multiLevelType w:val="singleLevel"/>
    <w:tmpl w:val="AC99EC45"/>
    <w:lvl w:ilvl="0">
      <w:start w:val="2"/>
      <w:numFmt w:val="chineseCounting"/>
      <w:suff w:val="nothing"/>
      <w:lvlText w:val="（%1）"/>
      <w:lvlJc w:val="left"/>
      <w:rPr>
        <w:rFonts w:hint="eastAsia"/>
      </w:rPr>
    </w:lvl>
  </w:abstractNum>
  <w:abstractNum w:abstractNumId="2">
    <w:nsid w:val="F639CCF1"/>
    <w:multiLevelType w:val="singleLevel"/>
    <w:tmpl w:val="F639CCF1"/>
    <w:lvl w:ilvl="0">
      <w:start w:val="2"/>
      <w:numFmt w:val="chineseCounting"/>
      <w:suff w:val="nothing"/>
      <w:lvlText w:val="%1、"/>
      <w:lvlJc w:val="left"/>
      <w:rPr>
        <w:rFonts w:hint="eastAsia"/>
      </w:rPr>
    </w:lvl>
  </w:abstractNum>
  <w:abstractNum w:abstractNumId="3">
    <w:nsid w:val="692A871F"/>
    <w:multiLevelType w:val="singleLevel"/>
    <w:tmpl w:val="692A871F"/>
    <w:lvl w:ilvl="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OWFhOTg4ZDM4MmUxMjY4MTVmZmY2YzU4Y2FjOTEifQ=="/>
  </w:docVars>
  <w:rsids>
    <w:rsidRoot w:val="7E06635A"/>
    <w:rsid w:val="0064436D"/>
    <w:rsid w:val="00BE32F3"/>
    <w:rsid w:val="00CA424B"/>
    <w:rsid w:val="00D37D70"/>
    <w:rsid w:val="02301FCF"/>
    <w:rsid w:val="02353A89"/>
    <w:rsid w:val="055F2BCB"/>
    <w:rsid w:val="09096394"/>
    <w:rsid w:val="0C5C1C12"/>
    <w:rsid w:val="0CC779D3"/>
    <w:rsid w:val="0D5A25F6"/>
    <w:rsid w:val="0DCE08EE"/>
    <w:rsid w:val="1B3E5305"/>
    <w:rsid w:val="1CA92C52"/>
    <w:rsid w:val="1DDD51EC"/>
    <w:rsid w:val="1FB913FE"/>
    <w:rsid w:val="21C95463"/>
    <w:rsid w:val="231D1CA3"/>
    <w:rsid w:val="235F0926"/>
    <w:rsid w:val="254243CE"/>
    <w:rsid w:val="25787665"/>
    <w:rsid w:val="264D1109"/>
    <w:rsid w:val="342A7F90"/>
    <w:rsid w:val="38EE4449"/>
    <w:rsid w:val="3B295232"/>
    <w:rsid w:val="42725228"/>
    <w:rsid w:val="47A3011A"/>
    <w:rsid w:val="49EA3A6B"/>
    <w:rsid w:val="4A235542"/>
    <w:rsid w:val="4EDD6607"/>
    <w:rsid w:val="4F4A531F"/>
    <w:rsid w:val="5606688A"/>
    <w:rsid w:val="5AC67E35"/>
    <w:rsid w:val="65921AA2"/>
    <w:rsid w:val="671505CA"/>
    <w:rsid w:val="69CC4E56"/>
    <w:rsid w:val="6E182D60"/>
    <w:rsid w:val="6E731D44"/>
    <w:rsid w:val="753D76FF"/>
    <w:rsid w:val="7BC46D56"/>
    <w:rsid w:val="7DE44A0D"/>
    <w:rsid w:val="7E06635A"/>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3578</Characters>
  <Application>Microsoft Office Word</Application>
  <DocSecurity>0</DocSecurity>
  <Lines>29</Lines>
  <Paragraphs>8</Paragraphs>
  <ScaleCrop>false</ScaleCrop>
  <Company>Microsoft</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散落漫天的碎片</dc:creator>
  <cp:lastModifiedBy>AutoBVT</cp:lastModifiedBy>
  <cp:revision>2</cp:revision>
  <dcterms:created xsi:type="dcterms:W3CDTF">2024-05-17T11:16:00Z</dcterms:created>
  <dcterms:modified xsi:type="dcterms:W3CDTF">2024-05-17T11:16:00Z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ABC53C074E76488E93A65C9ED3D2C7AB</vt:lpwstr>
  </property>
</Properties>
</file>