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3B9" w:rsidRDefault="00817B16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中共南岳区委办公室</w:t>
      </w:r>
    </w:p>
    <w:p w:rsidR="006533B9" w:rsidRDefault="00817B16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2023</w:t>
      </w:r>
      <w:r>
        <w:rPr>
          <w:rFonts w:hint="eastAsia"/>
          <w:sz w:val="44"/>
          <w:szCs w:val="44"/>
        </w:rPr>
        <w:t>年部门专项</w:t>
      </w:r>
      <w:r>
        <w:rPr>
          <w:rFonts w:hint="eastAsia"/>
          <w:sz w:val="44"/>
          <w:szCs w:val="44"/>
        </w:rPr>
        <w:t>经费</w:t>
      </w:r>
      <w:r>
        <w:rPr>
          <w:sz w:val="44"/>
          <w:szCs w:val="44"/>
        </w:rPr>
        <w:t>绩效自评报告</w:t>
      </w:r>
    </w:p>
    <w:p w:rsidR="006533B9" w:rsidRDefault="00817B16">
      <w:pPr>
        <w:pStyle w:val="a5"/>
        <w:widowControl/>
      </w:pPr>
      <w:r>
        <w:rPr>
          <w:rFonts w:ascii="Times New Roman" w:hAnsi="Times New Roman"/>
          <w:sz w:val="32"/>
          <w:szCs w:val="32"/>
        </w:rPr>
        <w:t>   </w:t>
      </w:r>
      <w:r>
        <w:rPr>
          <w:rFonts w:ascii="Times New Roman" w:hAnsi="Times New Roman" w:hint="eastAsia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sz w:val="32"/>
          <w:szCs w:val="32"/>
        </w:rPr>
        <w:t>根据省财政厅预算绩效管理的最新要求，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南岳区</w:t>
      </w:r>
      <w:r>
        <w:rPr>
          <w:rFonts w:ascii="仿宋" w:eastAsia="仿宋" w:hAnsi="仿宋" w:cs="仿宋"/>
          <w:sz w:val="32"/>
          <w:szCs w:val="32"/>
        </w:rPr>
        <w:t>财政局的指导下，我单位组织专人对</w:t>
      </w:r>
      <w:r>
        <w:rPr>
          <w:rFonts w:ascii="仿宋" w:eastAsia="仿宋" w:hAnsi="仿宋" w:cs="仿宋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部门专项经费</w:t>
      </w:r>
      <w:r>
        <w:rPr>
          <w:rFonts w:ascii="仿宋" w:eastAsia="仿宋" w:hAnsi="仿宋" w:cs="仿宋"/>
          <w:sz w:val="32"/>
          <w:szCs w:val="32"/>
        </w:rPr>
        <w:t>绩效情况进行了自评工作，现将专项资金自评情况报告如下：</w:t>
      </w:r>
    </w:p>
    <w:p w:rsidR="006533B9" w:rsidRDefault="00817B16">
      <w:pPr>
        <w:pStyle w:val="a5"/>
        <w:widowControl/>
        <w:ind w:firstLine="640"/>
      </w:pPr>
      <w:r>
        <w:rPr>
          <w:rFonts w:ascii="Times New Roman" w:hAnsi="Times New Roman"/>
          <w:sz w:val="32"/>
          <w:szCs w:val="32"/>
        </w:rPr>
        <w:t>一、预算支出概况</w:t>
      </w:r>
    </w:p>
    <w:p w:rsidR="006533B9" w:rsidRDefault="00817B16">
      <w:pPr>
        <w:pStyle w:val="a5"/>
        <w:widowControl/>
        <w:ind w:firstLine="640"/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（一）项目实施单位基本情况</w:t>
      </w:r>
    </w:p>
    <w:p w:rsidR="006533B9" w:rsidRDefault="00817B16">
      <w:pPr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中共南岳区委办公室</w:t>
      </w:r>
      <w:r>
        <w:rPr>
          <w:rFonts w:ascii="Times New Roman" w:eastAsia="仿宋" w:hAnsi="仿宋"/>
          <w:sz w:val="32"/>
          <w:szCs w:val="32"/>
        </w:rPr>
        <w:t>是全额拨款的行政单位，根据编办核定，我单位内设股室</w:t>
      </w:r>
      <w:r>
        <w:rPr>
          <w:rFonts w:ascii="Times New Roman" w:eastAsia="仿宋" w:hAnsi="仿宋" w:hint="eastAsia"/>
          <w:sz w:val="32"/>
          <w:szCs w:val="32"/>
        </w:rPr>
        <w:t>10</w:t>
      </w:r>
      <w:r>
        <w:rPr>
          <w:rFonts w:ascii="Times New Roman" w:eastAsia="仿宋" w:hAnsi="仿宋"/>
          <w:sz w:val="32"/>
          <w:szCs w:val="32"/>
        </w:rPr>
        <w:t>个，分别是</w:t>
      </w:r>
      <w:r>
        <w:rPr>
          <w:rFonts w:ascii="仿宋_GB2312" w:eastAsia="仿宋_GB2312" w:hint="eastAsia"/>
          <w:sz w:val="30"/>
          <w:szCs w:val="30"/>
        </w:rPr>
        <w:t>秘书组（档案指导组）、信息组、督查室、行政后勤组、机要保密室（内网专用通信室）、港澳台事务组、区直机关工作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、改革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、外事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国安办</w:t>
      </w:r>
      <w:r>
        <w:rPr>
          <w:rFonts w:ascii="仿宋_GB2312" w:eastAsia="仿宋_GB2312" w:hint="eastAsia"/>
          <w:sz w:val="30"/>
          <w:szCs w:val="30"/>
        </w:rPr>
        <w:t>。下设区委总值班室、区办文法规室</w:t>
      </w:r>
      <w:r>
        <w:rPr>
          <w:rFonts w:ascii="仿宋_GB2312" w:eastAsia="仿宋_GB2312" w:hint="eastAsia"/>
          <w:sz w:val="30"/>
          <w:szCs w:val="30"/>
        </w:rPr>
        <w:t xml:space="preserve"> 2 </w:t>
      </w:r>
      <w:r>
        <w:rPr>
          <w:rFonts w:ascii="仿宋_GB2312" w:eastAsia="仿宋_GB2312" w:hint="eastAsia"/>
          <w:sz w:val="30"/>
          <w:szCs w:val="30"/>
        </w:rPr>
        <w:t>个事业单位。此外，区委研究中心为财务托管单位。</w:t>
      </w:r>
    </w:p>
    <w:p w:rsidR="006533B9" w:rsidRDefault="00817B16">
      <w:pPr>
        <w:pStyle w:val="a5"/>
        <w:widowControl/>
        <w:ind w:firstLine="640"/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（二）预算资金基本情况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>
        <w:rPr>
          <w:rFonts w:ascii="仿宋" w:eastAsia="仿宋" w:hAnsi="仿宋" w:cs="仿宋" w:hint="eastAsia"/>
          <w:sz w:val="32"/>
          <w:szCs w:val="32"/>
        </w:rPr>
        <w:t>岳财字</w:t>
      </w:r>
      <w:r>
        <w:rPr>
          <w:rFonts w:ascii="仿宋" w:eastAsia="仿宋" w:hAnsi="仿宋" w:cs="仿宋" w:hint="eastAsia"/>
          <w:sz w:val="32"/>
          <w:szCs w:val="32"/>
        </w:rPr>
        <w:t>[2023]9</w:t>
      </w:r>
      <w:r>
        <w:rPr>
          <w:rFonts w:ascii="仿宋" w:eastAsia="仿宋" w:hAnsi="仿宋" w:cs="仿宋" w:hint="eastAsia"/>
          <w:sz w:val="32"/>
          <w:szCs w:val="32"/>
        </w:rPr>
        <w:t>号南岳区财政局关于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年单位收支预算的批复，其他运转类部门专项经费</w:t>
      </w:r>
      <w:r>
        <w:rPr>
          <w:rFonts w:ascii="仿宋" w:eastAsia="仿宋" w:hAnsi="仿宋" w:cs="仿宋" w:hint="eastAsia"/>
          <w:sz w:val="32"/>
          <w:szCs w:val="32"/>
        </w:rPr>
        <w:t>88</w:t>
      </w:r>
      <w:r>
        <w:rPr>
          <w:rFonts w:ascii="仿宋" w:eastAsia="仿宋" w:hAnsi="仿宋" w:cs="仿宋" w:hint="eastAsia"/>
          <w:sz w:val="32"/>
          <w:szCs w:val="32"/>
        </w:rPr>
        <w:t>万元；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年结转部门专项资金</w:t>
      </w:r>
      <w:r>
        <w:rPr>
          <w:rFonts w:ascii="仿宋" w:eastAsia="仿宋" w:hAnsi="仿宋" w:cs="仿宋" w:hint="eastAsia"/>
          <w:sz w:val="32"/>
          <w:szCs w:val="32"/>
        </w:rPr>
        <w:t>42.73</w:t>
      </w:r>
      <w:r>
        <w:rPr>
          <w:rFonts w:ascii="仿宋" w:eastAsia="仿宋" w:hAnsi="仿宋" w:cs="仿宋" w:hint="eastAsia"/>
          <w:sz w:val="32"/>
          <w:szCs w:val="32"/>
        </w:rPr>
        <w:t>万元，全年预算数</w:t>
      </w:r>
      <w:r>
        <w:rPr>
          <w:rFonts w:ascii="仿宋" w:eastAsia="仿宋" w:hAnsi="仿宋" w:cs="仿宋" w:hint="eastAsia"/>
          <w:sz w:val="32"/>
          <w:szCs w:val="32"/>
        </w:rPr>
        <w:t>130.73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（三）预算资金绩效目标</w:t>
      </w:r>
    </w:p>
    <w:p w:rsidR="006533B9" w:rsidRDefault="00817B16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　　搞好政务服务，围绕区委工作部署，完成涉及全区经济</w:t>
      </w:r>
      <w:r>
        <w:rPr>
          <w:rFonts w:eastAsia="仿宋_GB2312" w:hint="eastAsia"/>
          <w:sz w:val="32"/>
          <w:szCs w:val="32"/>
        </w:rPr>
        <w:lastRenderedPageBreak/>
        <w:t>建设、社会发展、党的自身建设等全局性的重大问题进行信息采集、调查研究，为区委科学决策提出建议、预案和依据；搞好事务服务，做好文件制发、会务服务、机要保密、督促检查、绩效考核、综合协调</w:t>
      </w:r>
      <w:r>
        <w:rPr>
          <w:rFonts w:eastAsia="仿宋_GB2312" w:hint="eastAsia"/>
          <w:sz w:val="32"/>
          <w:szCs w:val="32"/>
        </w:rPr>
        <w:t>等工作，确保中央、省委、市委、区委的重要政策方针、工作部署和区委领导的各项指示得到贯彻落实；搞好勤务服务，为确保机关正常运转提供经费保障</w:t>
      </w:r>
      <w:r>
        <w:rPr>
          <w:rFonts w:eastAsia="仿宋_GB2312" w:hint="eastAsia"/>
          <w:sz w:val="32"/>
          <w:szCs w:val="32"/>
        </w:rPr>
        <w:t>。</w:t>
      </w:r>
    </w:p>
    <w:p w:rsidR="006533B9" w:rsidRDefault="00817B16">
      <w:pPr>
        <w:pStyle w:val="a5"/>
        <w:widowControl/>
        <w:ind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二、预算资金使用及管理情况</w:t>
      </w:r>
    </w:p>
    <w:p w:rsidR="006533B9" w:rsidRDefault="00817B16">
      <w:pPr>
        <w:pStyle w:val="a5"/>
        <w:widowControl/>
        <w:ind w:firstLine="640"/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（一）预算资金总投入情况。</w:t>
      </w:r>
    </w:p>
    <w:p w:rsidR="006533B9" w:rsidRDefault="00817B16">
      <w:pPr>
        <w:pStyle w:val="a5"/>
        <w:widowControl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全年预算数</w:t>
      </w:r>
      <w:r>
        <w:rPr>
          <w:rFonts w:ascii="仿宋" w:eastAsia="仿宋" w:hAnsi="仿宋" w:cs="仿宋" w:hint="eastAsia"/>
          <w:sz w:val="32"/>
          <w:szCs w:val="32"/>
        </w:rPr>
        <w:t>130.73</w:t>
      </w:r>
      <w:r>
        <w:rPr>
          <w:rFonts w:ascii="仿宋" w:eastAsia="仿宋" w:hAnsi="仿宋" w:cs="仿宋" w:hint="eastAsia"/>
          <w:sz w:val="32"/>
          <w:szCs w:val="32"/>
        </w:rPr>
        <w:t>万元，全年执行数</w:t>
      </w:r>
      <w:r>
        <w:rPr>
          <w:rFonts w:ascii="仿宋" w:eastAsia="仿宋" w:hAnsi="仿宋" w:cs="仿宋" w:hint="eastAsia"/>
          <w:sz w:val="32"/>
          <w:szCs w:val="32"/>
        </w:rPr>
        <w:t>90.58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>
        <w:rPr>
          <w:rFonts w:eastAsia="仿宋_GB2312" w:hint="eastAsia"/>
          <w:color w:val="000000"/>
          <w:sz w:val="32"/>
          <w:szCs w:val="32"/>
        </w:rPr>
        <w:t>主要原因是</w:t>
      </w:r>
      <w:r>
        <w:rPr>
          <w:rFonts w:eastAsia="仿宋_GB2312" w:hint="eastAsia"/>
          <w:color w:val="000000"/>
          <w:sz w:val="32"/>
          <w:szCs w:val="32"/>
        </w:rPr>
        <w:t>压减非重点、刚性支出要求，有效节约，控制经费开支。</w:t>
      </w:r>
    </w:p>
    <w:p w:rsidR="006533B9" w:rsidRDefault="00817B16">
      <w:pPr>
        <w:pStyle w:val="a5"/>
        <w:widowControl/>
        <w:numPr>
          <w:ilvl w:val="0"/>
          <w:numId w:val="1"/>
        </w:numPr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年部门专项资金支出</w:t>
      </w:r>
      <w:r>
        <w:rPr>
          <w:rFonts w:ascii="仿宋" w:eastAsia="仿宋" w:hAnsi="仿宋" w:cs="仿宋" w:hint="eastAsia"/>
          <w:sz w:val="32"/>
          <w:szCs w:val="32"/>
        </w:rPr>
        <w:t>90.58</w:t>
      </w:r>
      <w:r>
        <w:rPr>
          <w:rFonts w:ascii="仿宋" w:eastAsia="仿宋" w:hAnsi="仿宋" w:cs="仿宋" w:hint="eastAsia"/>
          <w:sz w:val="32"/>
          <w:szCs w:val="32"/>
        </w:rPr>
        <w:t>万元，主要用于</w:t>
      </w:r>
      <w:r>
        <w:rPr>
          <w:rFonts w:ascii="仿宋_GB2312" w:eastAsia="仿宋_GB2312" w:hint="eastAsia"/>
          <w:sz w:val="30"/>
          <w:szCs w:val="30"/>
        </w:rPr>
        <w:t>党务活动</w:t>
      </w:r>
      <w:r>
        <w:rPr>
          <w:rFonts w:ascii="仿宋_GB2312" w:eastAsia="仿宋_GB2312" w:hint="eastAsia"/>
          <w:sz w:val="30"/>
          <w:szCs w:val="30"/>
        </w:rPr>
        <w:t>经费</w:t>
      </w:r>
      <w:r>
        <w:rPr>
          <w:rFonts w:ascii="仿宋_GB2312" w:eastAsia="仿宋_GB2312" w:hint="eastAsia"/>
          <w:sz w:val="30"/>
          <w:szCs w:val="30"/>
        </w:rPr>
        <w:t>、政策研究刊物组稿专项经费、</w:t>
      </w:r>
      <w:r>
        <w:rPr>
          <w:rFonts w:ascii="仿宋" w:eastAsia="仿宋" w:hAnsi="仿宋" w:cs="仿宋" w:hint="eastAsia"/>
          <w:sz w:val="32"/>
          <w:szCs w:val="32"/>
        </w:rPr>
        <w:t>全面深化改革工作经费</w:t>
      </w:r>
      <w:r>
        <w:rPr>
          <w:rFonts w:ascii="仿宋_GB2312" w:eastAsia="仿宋_GB2312" w:hint="eastAsia"/>
          <w:sz w:val="30"/>
          <w:szCs w:val="30"/>
        </w:rPr>
        <w:t>、督查</w:t>
      </w:r>
      <w:r>
        <w:rPr>
          <w:rFonts w:ascii="仿宋_GB2312" w:eastAsia="仿宋_GB2312" w:hint="eastAsia"/>
          <w:sz w:val="30"/>
          <w:szCs w:val="30"/>
        </w:rPr>
        <w:t>专项费</w:t>
      </w:r>
      <w:r>
        <w:rPr>
          <w:rFonts w:ascii="仿宋_GB2312" w:eastAsia="仿宋_GB2312" w:hint="eastAsia"/>
          <w:sz w:val="30"/>
          <w:szCs w:val="30"/>
        </w:rPr>
        <w:t>、区直属机关</w:t>
      </w:r>
      <w:r>
        <w:rPr>
          <w:rFonts w:ascii="仿宋" w:eastAsia="仿宋" w:hAnsi="仿宋" w:cs="仿宋" w:hint="eastAsia"/>
          <w:sz w:val="32"/>
          <w:szCs w:val="32"/>
        </w:rPr>
        <w:t>工作经费</w:t>
      </w:r>
      <w:r>
        <w:rPr>
          <w:rFonts w:ascii="仿宋_GB2312" w:eastAsia="仿宋_GB2312" w:hint="eastAsia"/>
          <w:sz w:val="30"/>
          <w:szCs w:val="30"/>
        </w:rPr>
        <w:t>、机要业务和保密与密码</w:t>
      </w:r>
      <w:r>
        <w:rPr>
          <w:rFonts w:ascii="仿宋_GB2312" w:eastAsia="仿宋_GB2312" w:hint="eastAsia"/>
          <w:sz w:val="30"/>
          <w:szCs w:val="30"/>
        </w:rPr>
        <w:t>专项经费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外事对台工作经费</w:t>
      </w:r>
      <w:r>
        <w:rPr>
          <w:rFonts w:ascii="仿宋" w:eastAsia="仿宋" w:hAnsi="仿宋" w:cs="仿宋" w:hint="eastAsia"/>
          <w:sz w:val="32"/>
          <w:szCs w:val="32"/>
        </w:rPr>
        <w:t>等。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单位财务制度健全，会计核算规范，项目资金管理均按照中央、省、市财政专项资金管理办法实施，资金监管到位，经费开支按用途使用合理，坚持专款专用，全部支付用于各专项项目，既有效保障了单位正常运转和各项专项工作的资金需要，又确保了实效。</w:t>
      </w:r>
    </w:p>
    <w:p w:rsidR="006533B9" w:rsidRDefault="00817B16">
      <w:pPr>
        <w:pStyle w:val="a5"/>
        <w:widowControl/>
        <w:ind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三、</w:t>
      </w:r>
      <w:r>
        <w:rPr>
          <w:rFonts w:ascii="Times New Roman" w:hAnsi="Times New Roman"/>
          <w:sz w:val="32"/>
          <w:szCs w:val="32"/>
        </w:rPr>
        <w:t>预算支出组织实施情况</w:t>
      </w:r>
    </w:p>
    <w:p w:rsidR="006533B9" w:rsidRDefault="00817B16">
      <w:pPr>
        <w:pStyle w:val="a5"/>
        <w:widowControl/>
        <w:spacing w:before="450" w:beforeAutospacing="0" w:afterAutospacing="0" w:line="420" w:lineRule="atLeast"/>
        <w:ind w:firstLine="420"/>
        <w:textAlignment w:val="center"/>
        <w:rPr>
          <w:rFonts w:eastAsia="仿宋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  </w:t>
      </w:r>
      <w:r>
        <w:rPr>
          <w:rFonts w:eastAsia="仿宋_GB2312"/>
          <w:sz w:val="32"/>
          <w:szCs w:val="32"/>
        </w:rPr>
        <w:t>项目支出系我</w:t>
      </w:r>
      <w:r>
        <w:rPr>
          <w:rFonts w:eastAsia="仿宋_GB2312" w:hint="eastAsia"/>
          <w:sz w:val="32"/>
          <w:szCs w:val="32"/>
        </w:rPr>
        <w:t>办</w:t>
      </w:r>
      <w:r>
        <w:rPr>
          <w:rFonts w:eastAsia="仿宋_GB2312"/>
          <w:sz w:val="32"/>
          <w:szCs w:val="32"/>
        </w:rPr>
        <w:t>为完成</w:t>
      </w:r>
      <w:r>
        <w:rPr>
          <w:rFonts w:eastAsia="仿宋_GB2312" w:hint="eastAsia"/>
          <w:sz w:val="32"/>
          <w:szCs w:val="32"/>
        </w:rPr>
        <w:t>党办</w:t>
      </w:r>
      <w:r>
        <w:rPr>
          <w:rFonts w:eastAsia="仿宋_GB2312"/>
          <w:sz w:val="32"/>
          <w:szCs w:val="32"/>
        </w:rPr>
        <w:t>工作而发生的支出，</w:t>
      </w:r>
      <w:r>
        <w:rPr>
          <w:rFonts w:eastAsia="仿宋_GB2312" w:hint="eastAsia"/>
          <w:sz w:val="32"/>
          <w:szCs w:val="32"/>
        </w:rPr>
        <w:t>主要为</w:t>
      </w:r>
      <w:r>
        <w:rPr>
          <w:rFonts w:eastAsia="仿宋_GB2312"/>
          <w:sz w:val="32"/>
          <w:szCs w:val="32"/>
        </w:rPr>
        <w:t>业务工作经费。</w:t>
      </w:r>
      <w:r>
        <w:rPr>
          <w:rFonts w:ascii="仿宋" w:eastAsia="仿宋" w:hAnsi="仿宋" w:cs="仿宋" w:hint="eastAsia"/>
          <w:sz w:val="32"/>
          <w:szCs w:val="32"/>
        </w:rPr>
        <w:t>项目管理规范，资金使用合理合规，经济效益和社会效益好，行政效能提高，行政成本下降，社会公众满意度高，有效保障了我办各项业务工作及</w:t>
      </w:r>
      <w:r>
        <w:rPr>
          <w:rFonts w:ascii="仿宋" w:eastAsia="仿宋" w:hAnsi="仿宋" w:cs="仿宋" w:hint="eastAsia"/>
          <w:sz w:val="32"/>
          <w:szCs w:val="32"/>
        </w:rPr>
        <w:t>区</w:t>
      </w:r>
      <w:r>
        <w:rPr>
          <w:rFonts w:ascii="仿宋" w:eastAsia="仿宋" w:hAnsi="仿宋" w:cs="仿宋" w:hint="eastAsia"/>
          <w:sz w:val="32"/>
          <w:szCs w:val="32"/>
        </w:rPr>
        <w:t>委中心工作的顺利开展。</w:t>
      </w:r>
    </w:p>
    <w:p w:rsidR="006533B9" w:rsidRDefault="00817B16">
      <w:pPr>
        <w:pStyle w:val="a5"/>
        <w:widowControl/>
        <w:ind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四、预算支出绩效情况</w:t>
      </w:r>
    </w:p>
    <w:p w:rsidR="006533B9" w:rsidRDefault="00817B16">
      <w:pPr>
        <w:tabs>
          <w:tab w:val="left" w:pos="2296"/>
        </w:tabs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严格落实关于党政机关厉行节约的有关要求，既有效保障机关运转，又坚决制止铺张浪费，切实规范公务消费行为，努力降低行政成本，压减一般性支出，保障重点支出，不断优化支出结构，确保了</w:t>
      </w:r>
      <w:r>
        <w:rPr>
          <w:rFonts w:eastAsia="仿宋_GB2312" w:hint="eastAsia"/>
          <w:sz w:val="32"/>
          <w:szCs w:val="32"/>
        </w:rPr>
        <w:t>区</w:t>
      </w:r>
      <w:r>
        <w:rPr>
          <w:rFonts w:eastAsia="仿宋_GB2312" w:hint="eastAsia"/>
          <w:sz w:val="32"/>
          <w:szCs w:val="32"/>
        </w:rPr>
        <w:t>委决策的有力落实和各级机关的有序运转，得到了上级和</w:t>
      </w:r>
      <w:r>
        <w:rPr>
          <w:rFonts w:eastAsia="仿宋_GB2312" w:hint="eastAsia"/>
          <w:sz w:val="32"/>
          <w:szCs w:val="32"/>
        </w:rPr>
        <w:t>区</w:t>
      </w:r>
      <w:r>
        <w:rPr>
          <w:rFonts w:eastAsia="仿宋_GB2312" w:hint="eastAsia"/>
          <w:sz w:val="32"/>
          <w:szCs w:val="32"/>
        </w:rPr>
        <w:t>委的充分肯定以及社会各界的普遍好评。</w:t>
      </w:r>
    </w:p>
    <w:p w:rsidR="006533B9" w:rsidRDefault="00817B16">
      <w:pPr>
        <w:pStyle w:val="a5"/>
        <w:widowControl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预算支出效益方面：</w:t>
      </w:r>
    </w:p>
    <w:p w:rsidR="006533B9" w:rsidRDefault="00817B16">
      <w:pPr>
        <w:pStyle w:val="a5"/>
        <w:widowControl/>
        <w:ind w:firstLine="640"/>
      </w:pPr>
      <w:r>
        <w:rPr>
          <w:rFonts w:ascii="仿宋" w:eastAsia="仿宋" w:hAnsi="仿宋" w:cs="仿宋" w:hint="eastAsia"/>
          <w:sz w:val="32"/>
          <w:szCs w:val="32"/>
        </w:rPr>
        <w:lastRenderedPageBreak/>
        <w:t>一是</w:t>
      </w:r>
      <w:r>
        <w:rPr>
          <w:rFonts w:ascii="仿宋" w:eastAsia="仿宋" w:hAnsi="仿宋" w:cs="仿宋"/>
          <w:sz w:val="32"/>
          <w:szCs w:val="32"/>
        </w:rPr>
        <w:t>着力提升服务能力，促进</w:t>
      </w:r>
      <w:r>
        <w:rPr>
          <w:rFonts w:ascii="仿宋" w:eastAsia="仿宋" w:hAnsi="仿宋" w:cs="仿宋" w:hint="eastAsia"/>
          <w:sz w:val="32"/>
          <w:szCs w:val="32"/>
        </w:rPr>
        <w:t>办公室</w:t>
      </w:r>
      <w:r>
        <w:rPr>
          <w:rFonts w:ascii="仿宋" w:eastAsia="仿宋" w:hAnsi="仿宋" w:cs="仿宋"/>
          <w:sz w:val="32"/>
          <w:szCs w:val="32"/>
        </w:rPr>
        <w:t>事业发展。</w:t>
      </w:r>
      <w:r>
        <w:rPr>
          <w:rFonts w:ascii="仿宋" w:eastAsia="仿宋" w:hAnsi="仿宋" w:cs="仿宋"/>
          <w:sz w:val="32"/>
          <w:szCs w:val="32"/>
        </w:rPr>
        <w:t>在区委的坚强领导下，全区党办系统坚持以习近平新时代中国特色社会主义思想为指导，深入学习贯彻党的二十大精神，紧紧围绕全区发展大局和中心工作，</w:t>
      </w:r>
      <w:r>
        <w:rPr>
          <w:rFonts w:ascii="仿宋" w:eastAsia="仿宋" w:hAnsi="仿宋" w:cs="仿宋" w:hint="eastAsia"/>
          <w:sz w:val="32"/>
          <w:szCs w:val="32"/>
        </w:rPr>
        <w:t>积极</w:t>
      </w:r>
      <w:r>
        <w:rPr>
          <w:rFonts w:ascii="仿宋" w:eastAsia="仿宋" w:hAnsi="仿宋" w:cs="仿宋" w:hint="eastAsia"/>
          <w:sz w:val="32"/>
          <w:szCs w:val="32"/>
        </w:rPr>
        <w:t>发挥统筹协调、参谋助手、督促落实、服务保障等职能作用，为推动</w:t>
      </w:r>
      <w:r>
        <w:rPr>
          <w:rFonts w:ascii="仿宋" w:eastAsia="仿宋" w:hAnsi="仿宋" w:cs="仿宋" w:hint="eastAsia"/>
          <w:sz w:val="32"/>
          <w:szCs w:val="32"/>
        </w:rPr>
        <w:t>全区高质量发展、打造</w:t>
      </w:r>
      <w:r>
        <w:rPr>
          <w:rFonts w:ascii="仿宋" w:eastAsia="仿宋" w:hAnsi="仿宋" w:cs="仿宋"/>
          <w:sz w:val="32"/>
          <w:szCs w:val="32"/>
        </w:rPr>
        <w:t>世界级文化旅游目的地</w:t>
      </w:r>
      <w:r>
        <w:rPr>
          <w:rFonts w:ascii="仿宋" w:eastAsia="仿宋" w:hAnsi="仿宋" w:cs="仿宋" w:hint="eastAsia"/>
          <w:sz w:val="32"/>
          <w:szCs w:val="32"/>
        </w:rPr>
        <w:t>贡献办公室力量。</w:t>
      </w:r>
    </w:p>
    <w:p w:rsidR="006533B9" w:rsidRDefault="00817B16">
      <w:pPr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二是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始终胸怀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“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国之大者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”</w:t>
      </w:r>
      <w:bookmarkStart w:id="0" w:name="_GoBack"/>
      <w:bookmarkEnd w:id="0"/>
      <w:r>
        <w:rPr>
          <w:rFonts w:ascii="仿宋" w:eastAsia="仿宋" w:hAnsi="仿宋" w:cs="仿宋"/>
          <w:kern w:val="0"/>
          <w:sz w:val="32"/>
          <w:szCs w:val="32"/>
          <w:lang w:bidi="ar"/>
        </w:rPr>
        <w:t>，更好服务中心大局。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发挥重点领域和重要专项国家安全工作协调机制分兵把守作用，完善国家安全风险监测预警体系。推进党政应急密码通信系统建设，助推安全可靠产业发展；加强保密教育，严格保密管理，筑牢国家安全防线。对标看齐全省“大抓落实督查激励”，服务和推动区委决策精准落地、高效落实；全面推行无扰督查，切实减少多头督查、重复督查。加强计划、科学统筹，全力整治“文山会海”，持续推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进整治形式主义，为基层减负。</w:t>
      </w:r>
    </w:p>
    <w:p w:rsidR="006533B9" w:rsidRDefault="00817B16">
      <w:pPr>
        <w:pStyle w:val="a5"/>
        <w:widowControl/>
        <w:ind w:firstLine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五、绩效自评结果</w:t>
      </w:r>
    </w:p>
    <w:p w:rsidR="006533B9" w:rsidRDefault="00817B16">
      <w:pPr>
        <w:pStyle w:val="a5"/>
        <w:widowControl/>
        <w:ind w:firstLine="640"/>
      </w:pPr>
      <w:r>
        <w:rPr>
          <w:rFonts w:ascii="仿宋" w:eastAsia="仿宋" w:hAnsi="仿宋" w:cs="仿宋" w:hint="eastAsia"/>
          <w:sz w:val="32"/>
          <w:szCs w:val="32"/>
        </w:rPr>
        <w:t>我们对照绩效评评的指标体系和具体要求，认真调阅相关资料台账和财务账目资料，深入项目实地走访，核实资金到位、使用情况，扎实开展自评工作。通过实事求是、客观公正的自我评价，总体认为我单位专项资金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总体绩效自评为：优</w:t>
      </w:r>
      <w:r>
        <w:rPr>
          <w:rFonts w:ascii="仿宋" w:eastAsia="仿宋" w:hAnsi="仿宋" w:cs="仿宋" w:hint="eastAsia"/>
          <w:sz w:val="32"/>
          <w:szCs w:val="32"/>
        </w:rPr>
        <w:t>，自评得分：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97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6533B9" w:rsidRDefault="00817B16">
      <w:pPr>
        <w:pStyle w:val="a5"/>
        <w:widowControl/>
        <w:numPr>
          <w:ilvl w:val="0"/>
          <w:numId w:val="2"/>
        </w:numPr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存在问题及建议</w:t>
      </w:r>
    </w:p>
    <w:p w:rsidR="006533B9" w:rsidRDefault="00817B16">
      <w:pPr>
        <w:snapToGrid w:val="0"/>
        <w:spacing w:line="6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加强资金目标设置的指导，完善绩效自评工作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。建议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财政部门对各单位绩效评价工作人员给予适当培训，积极开展事前、事中、事后评价，使绩效自评工作常态化，以自评促管理提升、促绩效目标实现，改变自评工作滞后和不规范的局面。</w:t>
      </w:r>
    </w:p>
    <w:p w:rsidR="006533B9" w:rsidRDefault="00817B16">
      <w:pPr>
        <w:widowControl/>
        <w:spacing w:line="600" w:lineRule="exact"/>
        <w:jc w:val="left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 xml:space="preserve">　　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预算编制不够精细。建议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科学、合理地编制年度预算，不断强化预算资金约束力，提高预算资金使用效益；定期向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主任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办公会通报预算执行进度，促使单位合理安排工作，统筹规划预算资金，确保预算资金使用的合理性、合法性。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对未启动项目及时分析原因，根据资金使用情况调整下年预算安排。</w:t>
      </w:r>
    </w:p>
    <w:p w:rsidR="006533B9" w:rsidRDefault="006533B9">
      <w:pPr>
        <w:pStyle w:val="a6"/>
        <w:widowControl/>
        <w:ind w:firstLineChars="0" w:firstLine="0"/>
        <w:rPr>
          <w:rFonts w:ascii="仿宋" w:eastAsia="仿宋" w:hAnsi="仿宋" w:cs="仿宋"/>
          <w:sz w:val="32"/>
          <w:szCs w:val="32"/>
        </w:rPr>
      </w:pPr>
    </w:p>
    <w:p w:rsidR="006533B9" w:rsidRDefault="006533B9">
      <w:pPr>
        <w:pStyle w:val="a5"/>
        <w:widowControl/>
        <w:ind w:firstLine="640"/>
      </w:pPr>
    </w:p>
    <w:p w:rsidR="006533B9" w:rsidRDefault="006533B9">
      <w:pPr>
        <w:pStyle w:val="a5"/>
        <w:widowControl/>
      </w:pPr>
    </w:p>
    <w:p w:rsidR="006533B9" w:rsidRDefault="006533B9">
      <w:pPr>
        <w:pStyle w:val="a5"/>
        <w:widowControl/>
      </w:pPr>
    </w:p>
    <w:p w:rsidR="006533B9" w:rsidRDefault="006533B9">
      <w:pPr>
        <w:rPr>
          <w:rFonts w:ascii="仿宋" w:eastAsia="仿宋" w:hAnsi="仿宋" w:cs="仿宋"/>
          <w:sz w:val="32"/>
          <w:szCs w:val="32"/>
        </w:rPr>
      </w:pPr>
    </w:p>
    <w:p w:rsidR="006533B9" w:rsidRDefault="006533B9"/>
    <w:sectPr w:rsidR="00653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8096A"/>
    <w:multiLevelType w:val="singleLevel"/>
    <w:tmpl w:val="2BE8096A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DF3EE3A"/>
    <w:multiLevelType w:val="singleLevel"/>
    <w:tmpl w:val="3DF3EE3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ODA3MmNmMGZmM2E4YmFjMjIxNjNmMTAwYjMxMGMifQ=="/>
  </w:docVars>
  <w:rsids>
    <w:rsidRoot w:val="2D1070E6"/>
    <w:rsid w:val="006533B9"/>
    <w:rsid w:val="00817B16"/>
    <w:rsid w:val="0DD50E07"/>
    <w:rsid w:val="129B63A7"/>
    <w:rsid w:val="19FC05CF"/>
    <w:rsid w:val="2D10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CACBA1-D378-4D1B-BA4B-8CB473AE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figures" w:uiPriority="99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  <w:rPr>
      <w:rFonts w:eastAsia="宋体"/>
    </w:rPr>
  </w:style>
  <w:style w:type="paragraph" w:styleId="a4">
    <w:name w:val="table of figures"/>
    <w:basedOn w:val="a"/>
    <w:next w:val="a"/>
    <w:uiPriority w:val="99"/>
    <w:qFormat/>
    <w:pPr>
      <w:ind w:leftChars="200" w:left="200" w:hangingChars="200" w:hanging="200"/>
    </w:p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">
    <w:name w:val="Body Text First Indent 2"/>
    <w:basedOn w:val="a3"/>
    <w:qFormat/>
    <w:pPr>
      <w:ind w:firstLineChars="200" w:firstLine="420"/>
    </w:pPr>
    <w:rPr>
      <w:rFonts w:ascii="宋体"/>
      <w:kern w:val="0"/>
      <w:sz w:val="20"/>
    </w:rPr>
  </w:style>
  <w:style w:type="paragraph" w:styleId="a6">
    <w:name w:val="List Paragraph"/>
    <w:basedOn w:val="a"/>
    <w:uiPriority w:val="99"/>
    <w:qFormat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三千金</dc:creator>
  <cp:lastModifiedBy>Administrator</cp:lastModifiedBy>
  <cp:revision>2</cp:revision>
  <dcterms:created xsi:type="dcterms:W3CDTF">2024-04-28T07:45:00Z</dcterms:created>
  <dcterms:modified xsi:type="dcterms:W3CDTF">2025-01-09T02:57:00Z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99E99A7E37F5404B83A62613B2ABC449_11</vt:lpwstr>
  </property>
</Properties>
</file>